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eastAsia="en-GB"/>
        </w:rPr>
        <w:drawing>
          <wp:inline distT="0" distB="0" distL="0" distR="0" wp14:anchorId="1B0AB2F3" wp14:editId="047FD6BE">
            <wp:extent cx="6301740" cy="606834"/>
            <wp:effectExtent l="0" t="0" r="3810" b="3175"/>
            <wp:docPr id="1" name="Picture 1" descr="Colour landscape logo low res jpeg">
              <a:hlinkClick xmlns:a="http://schemas.openxmlformats.org/drawingml/2006/main" r:id="rId7"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7" tooltip="&quot;image-BISLogo-landscapecolour-lowresjpg&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rsidR="00E458FA" w:rsidRPr="00E458FA" w:rsidRDefault="00515757" w:rsidP="00E458FA">
      <w:pPr>
        <w:spacing w:after="288" w:line="240" w:lineRule="auto"/>
        <w:ind w:left="142"/>
        <w:rPr>
          <w:rFonts w:eastAsia="Times New Roman" w:cs="Times New Roman"/>
          <w:szCs w:val="24"/>
        </w:rPr>
      </w:pPr>
      <w:hyperlink r:id="rId9" w:history="1">
        <w:r w:rsidR="00E458FA" w:rsidRPr="00E458FA">
          <w:rPr>
            <w:rFonts w:eastAsia="Times New Roman" w:cs="Times New Roman"/>
            <w:color w:val="0000FF"/>
            <w:szCs w:val="24"/>
            <w:u w:val="single"/>
            <w:lang w:val="en"/>
          </w:rPr>
          <w:t>https://bisgovuk.citizenspace.com/he/fulfilling-our-potential</w:t>
        </w:r>
      </w:hyperlink>
      <w:r w:rsidR="00E458FA" w:rsidRPr="00E458FA">
        <w:rPr>
          <w:rFonts w:eastAsia="Times New Roman" w:cs="Times New Roman"/>
          <w:szCs w:val="24"/>
        </w:rPr>
        <w:t xml:space="preserve">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Pr="00E458FA">
        <w:rPr>
          <w:rFonts w:eastAsia="Times New Roman" w:cs="Times New Roman"/>
          <w:szCs w:val="24"/>
        </w:rPr>
        <w:br/>
      </w:r>
      <w:r w:rsidRPr="00E458FA">
        <w:rPr>
          <w:rFonts w:eastAsia="Times New Roman" w:cs="Times New Roman"/>
          <w:szCs w:val="24"/>
        </w:rPr>
        <w:br/>
      </w:r>
      <w:hyperlink r:id="rId10" w:history="1">
        <w:r w:rsidRPr="00E458FA">
          <w:rPr>
            <w:rFonts w:eastAsia="Times New Roman" w:cs="Times New Roman"/>
            <w:color w:val="0000FF"/>
            <w:szCs w:val="24"/>
            <w:u w:val="single"/>
          </w:rPr>
          <w:t>https://www.gov.uk/government/consultations/higher-education-teaching-excellence-social-mobility-and-student-choice</w:t>
        </w:r>
      </w:hyperlink>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68099D">
        <w:rPr>
          <w:rFonts w:eastAsia="Times New Roman" w:cs="Times New Roman"/>
          <w:szCs w:val="24"/>
        </w:rPr>
        <w:t xml:space="preserve"> Emeritus Professor Stephen Lacey</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r w:rsidR="0068099D">
        <w:rPr>
          <w:rFonts w:eastAsia="Times New Roman" w:cs="Times New Roman"/>
          <w:szCs w:val="24"/>
        </w:rPr>
        <w:t xml:space="preserve"> Standing Conference of University Drama Departments (SCUDD)</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68099D">
        <w:rPr>
          <w:rFonts w:eastAsia="Times New Roman" w:cs="Times New Roman"/>
          <w:szCs w:val="24"/>
        </w:rPr>
        <w:t xml:space="preserve"> stephen.lacey@southwales.ac.uk</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w:t>
      </w:r>
      <w:r w:rsidRPr="00E458FA">
        <w:rPr>
          <w:rFonts w:eastAsia="Times New Roman" w:cs="Times New Roman"/>
          <w:szCs w:val="24"/>
        </w:rPr>
        <w:tab/>
      </w:r>
      <w:hyperlink r:id="rId11"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rsidR="00E458FA" w:rsidRPr="00E458FA" w:rsidRDefault="00E458FA" w:rsidP="00E458FA">
      <w:pPr>
        <w:spacing w:after="0"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A84A27" w:rsidRDefault="00A84A27"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lastRenderedPageBreak/>
        <w:t xml:space="preserve">Please tick the box that best describes you as a respondent to this consultation. </w:t>
      </w:r>
    </w:p>
    <w:tbl>
      <w:tblPr>
        <w:tblW w:w="3791" w:type="pct"/>
        <w:tblInd w:w="294"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r w:rsidRPr="00E458FA">
              <w:rPr>
                <w:rFonts w:eastAsia="Times New Roman" w:cs="Times New Roman"/>
                <w:b/>
                <w:szCs w:val="24"/>
              </w:rPr>
              <w:tab/>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rsidTr="00BE367F">
        <w:trPr>
          <w:trHeight w:val="227"/>
        </w:trPr>
        <w:tc>
          <w:tcPr>
            <w:tcW w:w="636" w:type="pct"/>
            <w:shd w:val="clear" w:color="auto" w:fill="auto"/>
            <w:tcMar>
              <w:top w:w="113" w:type="dxa"/>
              <w:bottom w:w="113" w:type="dxa"/>
            </w:tcMar>
          </w:tcPr>
          <w:p w:rsidR="00E458FA" w:rsidRPr="00E458FA" w:rsidRDefault="00B63929" w:rsidP="00E458FA">
            <w:pPr>
              <w:spacing w:after="0" w:line="240" w:lineRule="auto"/>
              <w:ind w:left="113" w:right="113"/>
              <w:rPr>
                <w:rFonts w:eastAsia="Times New Roman" w:cs="Times New Roman"/>
                <w:b/>
                <w:szCs w:val="24"/>
              </w:rPr>
            </w:pPr>
            <w:r>
              <w:rPr>
                <w:rFonts w:eastAsia="Times New Roman" w:cs="Times New Roman"/>
                <w:b/>
                <w:szCs w:val="24"/>
              </w:rPr>
              <w:t>X</w:t>
            </w: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rsidTr="00BE367F">
        <w:trPr>
          <w:trHeight w:val="227"/>
        </w:trPr>
        <w:tc>
          <w:tcPr>
            <w:tcW w:w="636"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Other (please describe)</w:t>
            </w:r>
          </w:p>
        </w:tc>
      </w:tr>
    </w:tbl>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 w:name="_Toc434412496"/>
      <w:bookmarkStart w:id="2" w:name="_Toc222902184"/>
      <w:bookmarkStart w:id="3" w:name="_Toc337743655"/>
      <w:bookmarkStart w:id="4" w:name="_Toc426987235"/>
      <w:r w:rsidRPr="00E458FA">
        <w:rPr>
          <w:rFonts w:eastAsia="Times New Roman" w:cs="Times New Roman"/>
          <w:b/>
          <w:bCs/>
          <w:color w:val="009BBB"/>
          <w:sz w:val="26"/>
          <w:szCs w:val="26"/>
        </w:rPr>
        <w:t>Public sector equality duty</w:t>
      </w:r>
      <w:bookmarkEnd w:id="1"/>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1</w:t>
      </w:r>
      <w:bookmarkEnd w:id="2"/>
      <w:bookmarkEnd w:id="3"/>
      <w:bookmarkEnd w:id="4"/>
      <w:r w:rsidRPr="00E458FA">
        <w:rPr>
          <w:rFonts w:eastAsia="Times New Roman" w:cs="Times New Roman"/>
          <w:szCs w:val="24"/>
        </w:rPr>
        <w:t>:</w:t>
      </w:r>
    </w:p>
    <w:p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potential equality impacts of the proposals and other plans in this consultation?</w:t>
      </w:r>
      <w:r w:rsidRPr="00E458FA">
        <w:rPr>
          <w:rFonts w:eastAsia="Times New Roman" w:cs="Arial"/>
          <w:szCs w:val="24"/>
        </w:rPr>
        <w:br/>
      </w:r>
      <w:r w:rsidRPr="00E458FA">
        <w:rPr>
          <w:rFonts w:eastAsia="Times New Roman" w:cs="Arial"/>
          <w:szCs w:val="24"/>
        </w:rPr>
        <w:br/>
      </w:r>
      <w:r w:rsidRPr="00E458FA">
        <w:rPr>
          <w:rFonts w:eastAsia="Times New Roman" w:cs="Arial"/>
          <w:szCs w:val="24"/>
        </w:rPr>
        <w:br/>
      </w:r>
      <w:r w:rsidRPr="00E458FA">
        <w:rPr>
          <w:rFonts w:eastAsia="Times New Roman" w:cs="Arial"/>
          <w:szCs w:val="24"/>
        </w:rPr>
        <w:br/>
      </w:r>
    </w:p>
    <w:p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 xml:space="preserve">Are there any equality impacts that we have not considered?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lastRenderedPageBreak/>
        <w:t xml:space="preserve">         </w:t>
      </w:r>
      <w:sdt>
        <w:sdtPr>
          <w:rPr>
            <w:rFonts w:eastAsia="Times New Roman" w:cs="Times New Roman"/>
            <w:szCs w:val="24"/>
          </w:rPr>
          <w:id w:val="-1658907539"/>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065047"/>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37714743"/>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provide any further relevant evidence.</w:t>
      </w:r>
    </w:p>
    <w:p w:rsidR="00E458FA" w:rsidRPr="00E458FA" w:rsidRDefault="00E458FA" w:rsidP="00E458FA">
      <w:pPr>
        <w:tabs>
          <w:tab w:val="left" w:pos="567"/>
        </w:tabs>
        <w:spacing w:after="288" w:line="240" w:lineRule="auto"/>
        <w:ind w:left="142" w:right="11"/>
        <w:rPr>
          <w:rFonts w:eastAsia="Times New Roman" w:cs="Arial"/>
          <w:b/>
          <w:i/>
          <w:color w:val="4F81BD" w:themeColor="accent1"/>
          <w:szCs w:val="24"/>
        </w:rPr>
      </w:pPr>
    </w:p>
    <w:p w:rsidR="00E458FA" w:rsidRPr="00E458FA" w:rsidRDefault="00E458FA" w:rsidP="00E458FA">
      <w:pPr>
        <w:spacing w:after="288" w:line="240" w:lineRule="auto"/>
        <w:ind w:left="142"/>
        <w:rPr>
          <w:rFonts w:eastAsiaTheme="majorEastAsia" w:cs="Times New Roman"/>
          <w:szCs w:val="24"/>
        </w:rPr>
      </w:pPr>
      <w:bookmarkStart w:id="5" w:name="_Toc222902185"/>
      <w:bookmarkStart w:id="6" w:name="_Toc337743656"/>
      <w:bookmarkStart w:id="7" w:name="_Toc426987236"/>
    </w:p>
    <w:p w:rsidR="00E458FA" w:rsidRPr="00E458FA" w:rsidRDefault="00E458FA" w:rsidP="00E458FA">
      <w:pPr>
        <w:spacing w:after="288" w:line="240" w:lineRule="auto"/>
        <w:ind w:left="142"/>
        <w:rPr>
          <w:rFonts w:eastAsiaTheme="majorEastAsia" w:cs="Times New Roman"/>
          <w:szCs w:val="24"/>
        </w:rPr>
      </w:pPr>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8" w:name="_Toc434412497"/>
      <w:r w:rsidRPr="00E458FA">
        <w:rPr>
          <w:rFonts w:eastAsia="Times New Roman" w:cs="Times New Roman"/>
          <w:b/>
          <w:bCs/>
          <w:color w:val="009BBB"/>
          <w:sz w:val="26"/>
          <w:szCs w:val="26"/>
        </w:rPr>
        <w:t>Teaching Excellence Framework (TEF) (Part A: Chapters 1-3)</w:t>
      </w:r>
      <w:bookmarkEnd w:id="8"/>
    </w:p>
    <w:bookmarkEnd w:id="5"/>
    <w:bookmarkEnd w:id="6"/>
    <w:bookmarkEnd w:id="7"/>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2: How can information from the TEF be used to better inform student and employer decision making? Please quantify these benefits as far as you can.</w:t>
      </w:r>
    </w:p>
    <w:p w:rsidR="00E458FA" w:rsidRDefault="000F2BA3"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 Standing Conference of University Drama Departments (SCUDD) represents drama and performance departments in UK HE</w:t>
      </w:r>
      <w:r w:rsidR="007E0255">
        <w:rPr>
          <w:rFonts w:asciiTheme="majorHAnsi" w:eastAsia="Times New Roman" w:hAnsiTheme="majorHAnsi" w:cs="Arial"/>
          <w:szCs w:val="24"/>
        </w:rPr>
        <w:t>, and currently has</w:t>
      </w:r>
      <w:r w:rsidR="00B63929">
        <w:rPr>
          <w:rFonts w:asciiTheme="majorHAnsi" w:eastAsia="Times New Roman" w:hAnsiTheme="majorHAnsi" w:cs="Arial"/>
          <w:szCs w:val="24"/>
        </w:rPr>
        <w:t xml:space="preserve"> 85 members, </w:t>
      </w:r>
      <w:r w:rsidR="00F300E6">
        <w:rPr>
          <w:rFonts w:asciiTheme="majorHAnsi" w:eastAsia="Times New Roman" w:hAnsiTheme="majorHAnsi" w:cs="Arial"/>
          <w:szCs w:val="24"/>
        </w:rPr>
        <w:t xml:space="preserve">including specialist institutions, </w:t>
      </w:r>
      <w:r w:rsidR="00B63929">
        <w:rPr>
          <w:rFonts w:asciiTheme="majorHAnsi" w:eastAsia="Times New Roman" w:hAnsiTheme="majorHAnsi" w:cs="Arial"/>
          <w:szCs w:val="24"/>
        </w:rPr>
        <w:t>representing over 1200</w:t>
      </w:r>
      <w:r w:rsidR="007E0255">
        <w:rPr>
          <w:rFonts w:asciiTheme="majorHAnsi" w:eastAsia="Times New Roman" w:hAnsiTheme="majorHAnsi" w:cs="Arial"/>
          <w:szCs w:val="24"/>
        </w:rPr>
        <w:t xml:space="preserve"> academic staff </w:t>
      </w:r>
      <w:r w:rsidR="00D806DF">
        <w:rPr>
          <w:rFonts w:asciiTheme="majorHAnsi" w:eastAsia="Times New Roman" w:hAnsiTheme="majorHAnsi" w:cs="Arial"/>
          <w:szCs w:val="24"/>
        </w:rPr>
        <w:t>and postgraduate students</w:t>
      </w:r>
      <w:r w:rsidR="00F300E6">
        <w:rPr>
          <w:rFonts w:asciiTheme="majorHAnsi" w:eastAsia="Times New Roman" w:hAnsiTheme="majorHAnsi" w:cs="Arial"/>
          <w:szCs w:val="24"/>
        </w:rPr>
        <w:t xml:space="preserve"> and circa 24,000 students</w:t>
      </w:r>
      <w:r>
        <w:rPr>
          <w:rFonts w:asciiTheme="majorHAnsi" w:eastAsia="Times New Roman" w:hAnsiTheme="majorHAnsi" w:cs="Arial"/>
          <w:szCs w:val="24"/>
        </w:rPr>
        <w:t xml:space="preserve">. SCUDD members endorse the main aims of the Green Paper, </w:t>
      </w:r>
      <w:r w:rsidR="00B40A23">
        <w:rPr>
          <w:rFonts w:asciiTheme="majorHAnsi" w:eastAsia="Times New Roman" w:hAnsiTheme="majorHAnsi" w:cs="Arial"/>
          <w:szCs w:val="24"/>
        </w:rPr>
        <w:t xml:space="preserve">which we take to reflect the widely-held values of everyone who works in HE: </w:t>
      </w:r>
      <w:r>
        <w:rPr>
          <w:rFonts w:asciiTheme="majorHAnsi" w:eastAsia="Times New Roman" w:hAnsiTheme="majorHAnsi" w:cs="Arial"/>
          <w:szCs w:val="24"/>
        </w:rPr>
        <w:t>to provide the highest quality of education for our students, empowering them in the process, and ensure that a university education can be enjoyed by everyone who is able to benefit from it.</w:t>
      </w:r>
    </w:p>
    <w:p w:rsidR="00B63929" w:rsidRDefault="000F2BA3"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SCUDD remains sceptical, however, about the TEF</w:t>
      </w:r>
      <w:r w:rsidR="007E0255">
        <w:rPr>
          <w:rFonts w:asciiTheme="majorHAnsi" w:eastAsia="Times New Roman" w:hAnsiTheme="majorHAnsi" w:cs="Arial"/>
          <w:szCs w:val="24"/>
        </w:rPr>
        <w:t xml:space="preserve"> as a means of realising these aims</w:t>
      </w:r>
      <w:r w:rsidR="00F300E6">
        <w:rPr>
          <w:rFonts w:asciiTheme="majorHAnsi" w:eastAsia="Times New Roman" w:hAnsiTheme="majorHAnsi" w:cs="Arial"/>
          <w:szCs w:val="24"/>
        </w:rPr>
        <w:t xml:space="preserve"> and do</w:t>
      </w:r>
      <w:r w:rsidR="000C12F7">
        <w:rPr>
          <w:rFonts w:asciiTheme="majorHAnsi" w:eastAsia="Times New Roman" w:hAnsiTheme="majorHAnsi" w:cs="Arial"/>
          <w:szCs w:val="24"/>
        </w:rPr>
        <w:t>es</w:t>
      </w:r>
      <w:r w:rsidR="00F300E6">
        <w:rPr>
          <w:rFonts w:asciiTheme="majorHAnsi" w:eastAsia="Times New Roman" w:hAnsiTheme="majorHAnsi" w:cs="Arial"/>
          <w:szCs w:val="24"/>
        </w:rPr>
        <w:t xml:space="preserve"> not believe that a new regulatory framework is needed</w:t>
      </w:r>
      <w:r w:rsidR="007E0255">
        <w:rPr>
          <w:rFonts w:asciiTheme="majorHAnsi" w:eastAsia="Times New Roman" w:hAnsiTheme="majorHAnsi" w:cs="Arial"/>
          <w:szCs w:val="24"/>
        </w:rPr>
        <w:t xml:space="preserve">. </w:t>
      </w:r>
      <w:r w:rsidR="00C82031">
        <w:rPr>
          <w:rFonts w:asciiTheme="majorHAnsi" w:eastAsia="Times New Roman" w:hAnsiTheme="majorHAnsi" w:cs="Arial"/>
          <w:szCs w:val="24"/>
        </w:rPr>
        <w:t>In outline, our main concerns are that TEF will add another layer of bureaucracy onto an already over-burdened profession, making excellent teaching harder to achieve, and doubt that the</w:t>
      </w:r>
      <w:r w:rsidR="00F300E6">
        <w:rPr>
          <w:rFonts w:asciiTheme="majorHAnsi" w:eastAsia="Times New Roman" w:hAnsiTheme="majorHAnsi" w:cs="Arial"/>
          <w:szCs w:val="24"/>
        </w:rPr>
        <w:t xml:space="preserve"> metrics being proposed</w:t>
      </w:r>
      <w:r w:rsidR="00C82031">
        <w:rPr>
          <w:rFonts w:asciiTheme="majorHAnsi" w:eastAsia="Times New Roman" w:hAnsiTheme="majorHAnsi" w:cs="Arial"/>
          <w:szCs w:val="24"/>
        </w:rPr>
        <w:t xml:space="preserve"> are, or can be, adequate proxies for teaching excellence. We are also concerned that the search for sector-wide metrics, or criteria, will not recognise the differences between disciplines in the matter of teaching styles and philosophies. These concerns inform</w:t>
      </w:r>
      <w:r w:rsidR="007E0255">
        <w:rPr>
          <w:rFonts w:asciiTheme="majorHAnsi" w:eastAsia="Times New Roman" w:hAnsiTheme="majorHAnsi" w:cs="Arial"/>
          <w:szCs w:val="24"/>
        </w:rPr>
        <w:t xml:space="preserve"> the responses to the consultation questions below</w:t>
      </w:r>
      <w:r w:rsidR="00C82031">
        <w:rPr>
          <w:rFonts w:asciiTheme="majorHAnsi" w:eastAsia="Times New Roman" w:hAnsiTheme="majorHAnsi" w:cs="Arial"/>
          <w:szCs w:val="24"/>
        </w:rPr>
        <w:t>: at the same time, we have expressed our views on the principles and practice of TEF in response to the consultation invitation</w:t>
      </w:r>
      <w:r w:rsidR="00443E7E">
        <w:rPr>
          <w:rFonts w:asciiTheme="majorHAnsi" w:eastAsia="Times New Roman" w:hAnsiTheme="majorHAnsi" w:cs="Arial"/>
          <w:szCs w:val="24"/>
        </w:rPr>
        <w:t xml:space="preserve">. </w:t>
      </w:r>
    </w:p>
    <w:p w:rsidR="00F300E6" w:rsidRDefault="007E0255"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The Green Paper </w:t>
      </w:r>
      <w:r w:rsidR="00F300E6">
        <w:rPr>
          <w:rFonts w:asciiTheme="majorHAnsi" w:eastAsia="Times New Roman" w:hAnsiTheme="majorHAnsi" w:cs="Arial"/>
          <w:szCs w:val="24"/>
        </w:rPr>
        <w:t xml:space="preserve">proceeds from the assumption that there is a ‘problem’ with HE teaching. However, no real evidence to support this assertion is offered in the Paper (and it hard to find in government statements generally, beyond anecdote). Student concern, as voiced in the NSS, about ‘value for money’ </w:t>
      </w:r>
      <w:r w:rsidR="007C2A54">
        <w:rPr>
          <w:rFonts w:asciiTheme="majorHAnsi" w:eastAsia="Times New Roman" w:hAnsiTheme="majorHAnsi" w:cs="Arial"/>
          <w:szCs w:val="24"/>
        </w:rPr>
        <w:t>is quoted</w:t>
      </w:r>
      <w:r w:rsidR="00F300E6">
        <w:rPr>
          <w:rFonts w:asciiTheme="majorHAnsi" w:eastAsia="Times New Roman" w:hAnsiTheme="majorHAnsi" w:cs="Arial"/>
          <w:szCs w:val="24"/>
        </w:rPr>
        <w:t xml:space="preserve">, but this is not a proxy for </w:t>
      </w:r>
      <w:r w:rsidR="007C2A54">
        <w:rPr>
          <w:rFonts w:asciiTheme="majorHAnsi" w:eastAsia="Times New Roman" w:hAnsiTheme="majorHAnsi" w:cs="Arial"/>
          <w:szCs w:val="24"/>
        </w:rPr>
        <w:t>teaching excellence, and sits alongside generally supportive NSS statements (not mentioned in the Green Paper) about teaching quality</w:t>
      </w:r>
      <w:r w:rsidR="005C5065">
        <w:rPr>
          <w:rFonts w:asciiTheme="majorHAnsi" w:eastAsia="Times New Roman" w:hAnsiTheme="majorHAnsi" w:cs="Arial"/>
          <w:szCs w:val="24"/>
        </w:rPr>
        <w:t>; if university teaching is so poor, why do 126 HEIs score between 80 and 90 per cent in the NSS?</w:t>
      </w:r>
      <w:r w:rsidR="007C2A54">
        <w:rPr>
          <w:rFonts w:asciiTheme="majorHAnsi" w:eastAsia="Times New Roman" w:hAnsiTheme="majorHAnsi" w:cs="Arial"/>
          <w:szCs w:val="24"/>
        </w:rPr>
        <w:t xml:space="preserve"> There is an argument to be made for collating and publicising essential information that might assist prospective students in their decision-making, but this does not require an entirely new, centrally-imposed regulatory structure</w:t>
      </w:r>
      <w:r w:rsidR="005C5065">
        <w:rPr>
          <w:rFonts w:asciiTheme="majorHAnsi" w:eastAsia="Times New Roman" w:hAnsiTheme="majorHAnsi" w:cs="Arial"/>
          <w:szCs w:val="24"/>
        </w:rPr>
        <w:t>: in short, TEF is a solution in search of a problem.</w:t>
      </w:r>
    </w:p>
    <w:p w:rsidR="007E0255" w:rsidRDefault="007C2A54"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The Green Paper also </w:t>
      </w:r>
      <w:r w:rsidR="007E0255">
        <w:rPr>
          <w:rFonts w:asciiTheme="majorHAnsi" w:eastAsia="Times New Roman" w:hAnsiTheme="majorHAnsi" w:cs="Arial"/>
          <w:szCs w:val="24"/>
        </w:rPr>
        <w:t xml:space="preserve">argues that information about key elements of the educational experience, in which students will participate, </w:t>
      </w:r>
      <w:r w:rsidR="001B6D23">
        <w:rPr>
          <w:rFonts w:asciiTheme="majorHAnsi" w:eastAsia="Times New Roman" w:hAnsiTheme="majorHAnsi" w:cs="Arial"/>
          <w:szCs w:val="24"/>
        </w:rPr>
        <w:t xml:space="preserve">either does not exist or </w:t>
      </w:r>
      <w:r w:rsidR="007E0255">
        <w:rPr>
          <w:rFonts w:asciiTheme="majorHAnsi" w:eastAsia="Times New Roman" w:hAnsiTheme="majorHAnsi" w:cs="Arial"/>
          <w:szCs w:val="24"/>
        </w:rPr>
        <w:t xml:space="preserve">is not </w:t>
      </w:r>
      <w:r w:rsidR="00B40A23">
        <w:rPr>
          <w:rFonts w:asciiTheme="majorHAnsi" w:eastAsia="Times New Roman" w:hAnsiTheme="majorHAnsi" w:cs="Arial"/>
          <w:szCs w:val="24"/>
        </w:rPr>
        <w:t xml:space="preserve">widely available to applicants and therefore does not help them to make informed decisions about their choice of university. There is more information available than the Paper allows, even if some sources – </w:t>
      </w:r>
      <w:proofErr w:type="spellStart"/>
      <w:r w:rsidR="00B40A23">
        <w:rPr>
          <w:rFonts w:asciiTheme="majorHAnsi" w:eastAsia="Times New Roman" w:hAnsiTheme="majorHAnsi" w:cs="Arial"/>
          <w:szCs w:val="24"/>
        </w:rPr>
        <w:t>eg</w:t>
      </w:r>
      <w:proofErr w:type="spellEnd"/>
      <w:r w:rsidR="00B40A23">
        <w:rPr>
          <w:rFonts w:asciiTheme="majorHAnsi" w:eastAsia="Times New Roman" w:hAnsiTheme="majorHAnsi" w:cs="Arial"/>
          <w:szCs w:val="24"/>
        </w:rPr>
        <w:t xml:space="preserve"> university websites – are of variable quality. The problem, however, is that it is not always presented in a way that prospective students can access </w:t>
      </w:r>
      <w:r w:rsidR="00443E7E">
        <w:rPr>
          <w:rFonts w:asciiTheme="majorHAnsi" w:eastAsia="Times New Roman" w:hAnsiTheme="majorHAnsi" w:cs="Arial"/>
          <w:szCs w:val="24"/>
        </w:rPr>
        <w:t xml:space="preserve">easily; indeed, they do not always know that it is there at all. The TEF, as a national initiative backed by government, can counter the second of these, but will have to work very hard to ensure that information is relevant and widely </w:t>
      </w:r>
      <w:r w:rsidR="001B6D23">
        <w:rPr>
          <w:rFonts w:asciiTheme="majorHAnsi" w:eastAsia="Times New Roman" w:hAnsiTheme="majorHAnsi" w:cs="Arial"/>
          <w:szCs w:val="24"/>
        </w:rPr>
        <w:t xml:space="preserve">understood. </w:t>
      </w:r>
    </w:p>
    <w:p w:rsidR="00E458FA" w:rsidRDefault="001B6D23"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Benefits cannot </w:t>
      </w:r>
      <w:r w:rsidR="008D4D4D">
        <w:rPr>
          <w:rFonts w:asciiTheme="majorHAnsi" w:eastAsia="Times New Roman" w:hAnsiTheme="majorHAnsi" w:cs="Arial"/>
          <w:szCs w:val="24"/>
        </w:rPr>
        <w:t>easily</w:t>
      </w:r>
      <w:r w:rsidR="008D4D4D">
        <w:rPr>
          <w:rFonts w:asciiTheme="majorHAnsi" w:eastAsia="Times New Roman" w:hAnsiTheme="majorHAnsi" w:cs="Arial"/>
          <w:szCs w:val="24"/>
        </w:rPr>
        <w:t xml:space="preserve"> </w:t>
      </w:r>
      <w:r>
        <w:rPr>
          <w:rFonts w:asciiTheme="majorHAnsi" w:eastAsia="Times New Roman" w:hAnsiTheme="majorHAnsi" w:cs="Arial"/>
          <w:szCs w:val="24"/>
        </w:rPr>
        <w:t xml:space="preserve">be quantified, just as teaching excellence cannot </w:t>
      </w:r>
      <w:r w:rsidR="008D4D4D">
        <w:rPr>
          <w:rFonts w:asciiTheme="majorHAnsi" w:eastAsia="Times New Roman" w:hAnsiTheme="majorHAnsi" w:cs="Arial"/>
          <w:szCs w:val="24"/>
        </w:rPr>
        <w:t>easily</w:t>
      </w:r>
      <w:r w:rsidR="008D4D4D">
        <w:rPr>
          <w:rFonts w:asciiTheme="majorHAnsi" w:eastAsia="Times New Roman" w:hAnsiTheme="majorHAnsi" w:cs="Arial"/>
          <w:szCs w:val="24"/>
        </w:rPr>
        <w:t xml:space="preserve"> </w:t>
      </w:r>
      <w:r>
        <w:rPr>
          <w:rFonts w:asciiTheme="majorHAnsi" w:eastAsia="Times New Roman" w:hAnsiTheme="majorHAnsi" w:cs="Arial"/>
          <w:szCs w:val="24"/>
        </w:rPr>
        <w:t>be defined. In the absence of detailed information about the metrics and criteria to be used to define teaching excellence (or its proxies), the nature of the validation process beyond Level One and the format in which information will eventually appear, attempts to quantify benefits can only be speculation.</w:t>
      </w:r>
    </w:p>
    <w:p w:rsidR="001B6D23" w:rsidRPr="00E458FA" w:rsidRDefault="001B6D23"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3: Do you agree that the ambition for TEF should be that it is open to all HE </w:t>
      </w:r>
      <w:r w:rsidRPr="00E458FA">
        <w:rPr>
          <w:rFonts w:eastAsia="Times New Roman" w:cs="Times New Roman"/>
          <w:szCs w:val="24"/>
        </w:rPr>
        <w:t>providers, all disciplines,</w:t>
      </w:r>
      <w:r w:rsidRPr="00E458FA">
        <w:rPr>
          <w:rFonts w:eastAsia="Times New Roman" w:cs="Arial"/>
          <w:szCs w:val="24"/>
        </w:rPr>
        <w:t xml:space="preserve"> all modes of delivery and all levels?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29299826"/>
          <w14:checkbox>
            <w14:checked w14:val="1"/>
            <w14:checkedState w14:val="2612" w14:font="Yu Gothic UI"/>
            <w14:uncheckedState w14:val="2610" w14:font="Yu Gothic UI"/>
          </w14:checkbox>
        </w:sdtPr>
        <w:sdtContent>
          <w:r w:rsidR="001B6D23">
            <w:rPr>
              <w:rFonts w:ascii="Segoe UI Symbol" w:eastAsia="MS Gothic"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48598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0339207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answers.</w:t>
      </w:r>
    </w:p>
    <w:p w:rsidR="00E458FA" w:rsidRPr="00B101CD" w:rsidRDefault="00060F79" w:rsidP="00B101CD">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If TEF is to have any credence, it must be open to all HE providers and all forms of HE delivery – it makes</w:t>
      </w:r>
      <w:r w:rsidR="00B101CD">
        <w:rPr>
          <w:rFonts w:asciiTheme="majorHAnsi" w:eastAsia="Times New Roman" w:hAnsiTheme="majorHAnsi" w:cs="Arial"/>
          <w:szCs w:val="24"/>
        </w:rPr>
        <w:t xml:space="preserve"> no sense otherwise. There are two significant challenges, however: the first is</w:t>
      </w:r>
      <w:r>
        <w:rPr>
          <w:rFonts w:asciiTheme="majorHAnsi" w:eastAsia="Times New Roman" w:hAnsiTheme="majorHAnsi" w:cs="Arial"/>
          <w:szCs w:val="24"/>
        </w:rPr>
        <w:t xml:space="preserve"> to ensure </w:t>
      </w:r>
      <w:r w:rsidR="00B101CD">
        <w:rPr>
          <w:rFonts w:asciiTheme="majorHAnsi" w:eastAsia="Times New Roman" w:hAnsiTheme="majorHAnsi" w:cs="Arial"/>
          <w:szCs w:val="24"/>
        </w:rPr>
        <w:t>that, as the process develops, the criteria and metrics employed recognise the diversity within the HE system, especially between different disciplines. The second is that TEF will need to bring the devolved administrations into the process if it is to have any credibility. This will not necessarily be a straightforward matter.</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4: Where relevant, should an approved Access Agreement be a pre-requisite for a TEF award? What other mechanism might be used for different types of providers?</w:t>
      </w:r>
    </w:p>
    <w:p w:rsidR="00E458FA" w:rsidRDefault="00F76E3F"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SCUDD supports the ambition to increase the participation of all disadvantaged groups in HE, and welcomes the prominence given to a range of access issues in the Green Paper. An approved Access Agreement should be a pre-requisite for a TEF award. We have no </w:t>
      </w:r>
      <w:r w:rsidR="00C82031">
        <w:rPr>
          <w:rFonts w:asciiTheme="majorHAnsi" w:eastAsia="Times New Roman" w:hAnsiTheme="majorHAnsi" w:cs="Arial"/>
          <w:szCs w:val="24"/>
        </w:rPr>
        <w:t>view on</w:t>
      </w:r>
      <w:r>
        <w:rPr>
          <w:rFonts w:asciiTheme="majorHAnsi" w:eastAsia="Times New Roman" w:hAnsiTheme="majorHAnsi" w:cs="Arial"/>
          <w:szCs w:val="24"/>
        </w:rPr>
        <w:t xml:space="preserve"> alternative mechanisms as such, but observe that this is one area where all providers should be held to the same standard.</w:t>
      </w:r>
    </w:p>
    <w:p w:rsidR="00F76E3F" w:rsidRPr="00E458FA" w:rsidRDefault="00F76E3F" w:rsidP="00E458FA">
      <w:pPr>
        <w:tabs>
          <w:tab w:val="left" w:pos="567"/>
        </w:tabs>
        <w:spacing w:after="288" w:line="240" w:lineRule="auto"/>
        <w:ind w:left="142" w:right="11"/>
        <w:rPr>
          <w:rFonts w:eastAsia="Times New Roman" w:cs="Arial"/>
          <w:szCs w:val="24"/>
        </w:rPr>
      </w:pPr>
    </w:p>
    <w:p w:rsidR="00E458FA" w:rsidRPr="00E458FA" w:rsidRDefault="00E458FA" w:rsidP="00E458FA">
      <w:pPr>
        <w:spacing w:after="288" w:line="240" w:lineRule="auto"/>
        <w:ind w:left="142"/>
        <w:rPr>
          <w:rFonts w:eastAsia="Times New Roman" w:cs="Arial"/>
          <w:szCs w:val="24"/>
        </w:rPr>
      </w:pPr>
      <w:r w:rsidRPr="00E458FA">
        <w:rPr>
          <w:rFonts w:eastAsia="Times New Roman" w:cs="Arial"/>
          <w:szCs w:val="24"/>
        </w:rPr>
        <w:t>Question 5: Do you agree with the proposals on:</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what would constitute a ‘successful’ QA review</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50312694"/>
          <w14:checkbox>
            <w14:checked w14:val="1"/>
            <w14:checkedState w14:val="2612" w14:font="Yu Gothic UI"/>
            <w14:uncheckedState w14:val="2610" w14:font="Yu Gothic UI"/>
          </w14:checkbox>
        </w:sdtPr>
        <w:sdtContent>
          <w:r w:rsidR="00F76E3F">
            <w:rPr>
              <w:rFonts w:ascii="Segoe UI Symbol" w:eastAsia="MS Gothic"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81915664"/>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899519437"/>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 the incentives that should be open to alternative providers for the first year of the TEF</w:t>
      </w:r>
      <w:r w:rsidRPr="00E458FA">
        <w:rPr>
          <w:rFonts w:eastAsia="Times New Roman" w:cs="Times New Roman"/>
          <w:szCs w:val="24"/>
        </w:rPr>
        <w:t xml:space="preserve">  </w:t>
      </w:r>
    </w:p>
    <w:p w:rsidR="00E458FA" w:rsidRPr="00E458FA" w:rsidRDefault="00E458FA" w:rsidP="00E458FA">
      <w:pPr>
        <w:tabs>
          <w:tab w:val="left" w:pos="567"/>
        </w:tabs>
        <w:ind w:left="142" w:right="11"/>
        <w:rPr>
          <w:rFonts w:eastAsia="Times New Roman" w:cs="Times New Roman"/>
          <w:bCs/>
          <w:iCs/>
          <w:szCs w:val="24"/>
        </w:rPr>
      </w:pPr>
      <w:r w:rsidRPr="00E458FA">
        <w:rPr>
          <w:rFonts w:eastAsia="Times New Roman" w:cs="Times New Roman"/>
          <w:szCs w:val="24"/>
        </w:rPr>
        <w:t xml:space="preserve">      </w:t>
      </w:r>
      <w:sdt>
        <w:sdtPr>
          <w:rPr>
            <w:rFonts w:ascii="MS Gothic" w:eastAsia="MS Gothic" w:hAnsi="MS Gothic" w:cs="Times New Roman"/>
            <w:szCs w:val="24"/>
          </w:rPr>
          <w:id w:val="-1967105991"/>
          <w14:checkbox>
            <w14:checked w14:val="1"/>
            <w14:checkedState w14:val="2612" w14:font="Yu Gothic UI"/>
            <w14:uncheckedState w14:val="2610" w14:font="Yu Gothic UI"/>
          </w14:checkbox>
        </w:sdtPr>
        <w:sdtContent>
          <w:r w:rsidR="00F76E3F">
            <w:rPr>
              <w:rFonts w:ascii="Segoe UI Symbol" w:eastAsia="MS Gothic"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26498302"/>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92709897"/>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 xml:space="preserve">the proposal to move to differentiated levels of TEF from year two?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ascii="MS Gothic" w:eastAsia="MS Gothic" w:hAnsi="MS Gothic" w:cs="Times New Roman"/>
          <w:szCs w:val="24"/>
        </w:rPr>
        <w:tab/>
      </w:r>
      <w:sdt>
        <w:sdtPr>
          <w:rPr>
            <w:rFonts w:ascii="MS Gothic" w:eastAsia="MS Gothic" w:hAnsi="MS Gothic" w:cs="Times New Roman"/>
            <w:szCs w:val="24"/>
          </w:rPr>
          <w:id w:val="1154875093"/>
          <w14:checkbox>
            <w14:checked w14:val="0"/>
            <w14:checkedState w14:val="2612" w14:font="Yu Gothic UI"/>
            <w14:uncheckedState w14:val="2610" w14:font="Yu Gothic UI"/>
          </w14:checkbox>
        </w:sdtPr>
        <w:sdtContent>
          <w:r w:rsidR="00912AA4">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905143387"/>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09889"/>
          <w14:checkbox>
            <w14:checked w14:val="1"/>
            <w14:checkedState w14:val="2612" w14:font="Yu Gothic UI"/>
            <w14:uncheckedState w14:val="2610" w14:font="Yu Gothic UI"/>
          </w14:checkbox>
        </w:sdtPr>
        <w:sdtContent>
          <w:r w:rsidR="00912AA4">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rsidR="007C2A54" w:rsidRDefault="00F76E3F" w:rsidP="007C2A54">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The </w:t>
      </w:r>
      <w:r w:rsidR="00193065">
        <w:rPr>
          <w:rFonts w:asciiTheme="majorHAnsi" w:eastAsia="Times New Roman" w:hAnsiTheme="majorHAnsi" w:cs="Arial"/>
          <w:szCs w:val="24"/>
        </w:rPr>
        <w:t>proposal to link the first stage of TEF to a successful QA review, as defined in</w:t>
      </w:r>
      <w:r w:rsidR="007C2A54">
        <w:rPr>
          <w:rFonts w:asciiTheme="majorHAnsi" w:eastAsia="Times New Roman" w:hAnsiTheme="majorHAnsi" w:cs="Arial"/>
          <w:szCs w:val="24"/>
        </w:rPr>
        <w:t xml:space="preserve"> the Green Paper, </w:t>
      </w:r>
      <w:r w:rsidR="00193065">
        <w:rPr>
          <w:rFonts w:asciiTheme="majorHAnsi" w:eastAsia="Times New Roman" w:hAnsiTheme="majorHAnsi" w:cs="Arial"/>
          <w:szCs w:val="24"/>
        </w:rPr>
        <w:t>does not disturb existing, accepted prac</w:t>
      </w:r>
      <w:r w:rsidR="00C82031">
        <w:rPr>
          <w:rFonts w:asciiTheme="majorHAnsi" w:eastAsia="Times New Roman" w:hAnsiTheme="majorHAnsi" w:cs="Arial"/>
          <w:szCs w:val="24"/>
        </w:rPr>
        <w:t>tice.</w:t>
      </w:r>
      <w:r w:rsidR="007C2A54">
        <w:rPr>
          <w:rFonts w:asciiTheme="majorHAnsi" w:eastAsia="Times New Roman" w:hAnsiTheme="majorHAnsi" w:cs="Arial"/>
          <w:szCs w:val="24"/>
        </w:rPr>
        <w:t xml:space="preserve"> However, it should be pointed out that students do not appear to give much credence to institutional audits</w:t>
      </w:r>
      <w:r w:rsidR="005C5065">
        <w:rPr>
          <w:rFonts w:asciiTheme="majorHAnsi" w:eastAsia="Times New Roman" w:hAnsiTheme="majorHAnsi" w:cs="Arial"/>
          <w:szCs w:val="24"/>
        </w:rPr>
        <w:t>, as research carried out by HEPI with students demonstrates (</w:t>
      </w:r>
      <w:hyperlink r:id="rId12" w:history="1">
        <w:r w:rsidR="005C5065" w:rsidRPr="00550B12">
          <w:rPr>
            <w:rStyle w:val="Hyperlink"/>
            <w:rFonts w:asciiTheme="majorHAnsi" w:eastAsia="Times New Roman" w:hAnsiTheme="majorHAnsi" w:cs="Arial"/>
            <w:szCs w:val="24"/>
          </w:rPr>
          <w:t>http://www.hepi.ac.uk/wp-content/uploads/2016/01/STRICTLY-EMBARGOED-UNTIL-7-JANUARY-2016-FINAL-GREEN-PAPER-RESPONSE-21_12_15-Screen.pdf</w:t>
        </w:r>
      </w:hyperlink>
      <w:r w:rsidR="005C5065">
        <w:rPr>
          <w:rFonts w:asciiTheme="majorHAnsi" w:eastAsia="Times New Roman" w:hAnsiTheme="majorHAnsi" w:cs="Arial"/>
          <w:szCs w:val="24"/>
        </w:rPr>
        <w:t xml:space="preserve"> ). </w:t>
      </w:r>
      <w:r w:rsidR="00BD4C03">
        <w:rPr>
          <w:rFonts w:asciiTheme="majorHAnsi" w:eastAsia="Times New Roman" w:hAnsiTheme="majorHAnsi" w:cs="Arial"/>
          <w:szCs w:val="24"/>
        </w:rPr>
        <w:t>External QA review was the bottom of a list of eighteen factors that the students interviewed considered important in determining teaching quality.</w:t>
      </w:r>
    </w:p>
    <w:p w:rsidR="007C2A54" w:rsidRDefault="00C82031" w:rsidP="007C2A54">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 Alternative providers may</w:t>
      </w:r>
      <w:r w:rsidR="00193065">
        <w:rPr>
          <w:rFonts w:asciiTheme="majorHAnsi" w:eastAsia="Times New Roman" w:hAnsiTheme="majorHAnsi" w:cs="Arial"/>
          <w:szCs w:val="24"/>
        </w:rPr>
        <w:t xml:space="preserve"> need a different process, but ‘incentives’ should not mean lower standards.</w:t>
      </w:r>
      <w:r w:rsidR="00BD4C03">
        <w:rPr>
          <w:rFonts w:asciiTheme="majorHAnsi" w:eastAsia="Times New Roman" w:hAnsiTheme="majorHAnsi" w:cs="Arial"/>
          <w:szCs w:val="24"/>
        </w:rPr>
        <w:t xml:space="preserve"> Any system must recognise the diversity that characterises the HE ecology. There is a danger in using the metaphor of the ‘level playing field’, since it does not re</w:t>
      </w:r>
      <w:r w:rsidR="009D4343">
        <w:rPr>
          <w:rFonts w:asciiTheme="majorHAnsi" w:eastAsia="Times New Roman" w:hAnsiTheme="majorHAnsi" w:cs="Arial"/>
          <w:szCs w:val="24"/>
        </w:rPr>
        <w:t>cognise the distinctions and variations</w:t>
      </w:r>
      <w:r w:rsidR="00BD4C03">
        <w:rPr>
          <w:rFonts w:asciiTheme="majorHAnsi" w:eastAsia="Times New Roman" w:hAnsiTheme="majorHAnsi" w:cs="Arial"/>
          <w:szCs w:val="24"/>
        </w:rPr>
        <w:t xml:space="preserve"> between, say, specialist drama schools and Russell Group universities, each </w:t>
      </w:r>
      <w:r w:rsidR="008D4D4D">
        <w:rPr>
          <w:rFonts w:asciiTheme="majorHAnsi" w:eastAsia="Times New Roman" w:hAnsiTheme="majorHAnsi" w:cs="Arial"/>
          <w:szCs w:val="24"/>
        </w:rPr>
        <w:t>of which contribute</w:t>
      </w:r>
      <w:bookmarkStart w:id="9" w:name="_GoBack"/>
      <w:bookmarkEnd w:id="9"/>
      <w:r w:rsidR="00BD4C03">
        <w:rPr>
          <w:rFonts w:asciiTheme="majorHAnsi" w:eastAsia="Times New Roman" w:hAnsiTheme="majorHAnsi" w:cs="Arial"/>
          <w:szCs w:val="24"/>
        </w:rPr>
        <w:t xml:space="preserve"> </w:t>
      </w:r>
      <w:r w:rsidR="009D4343">
        <w:rPr>
          <w:rFonts w:asciiTheme="majorHAnsi" w:eastAsia="Times New Roman" w:hAnsiTheme="majorHAnsi" w:cs="Arial"/>
          <w:szCs w:val="24"/>
        </w:rPr>
        <w:t xml:space="preserve">healthily, but </w:t>
      </w:r>
      <w:r w:rsidR="00BD4C03">
        <w:rPr>
          <w:rFonts w:asciiTheme="majorHAnsi" w:eastAsia="Times New Roman" w:hAnsiTheme="majorHAnsi" w:cs="Arial"/>
          <w:szCs w:val="24"/>
        </w:rPr>
        <w:t>di</w:t>
      </w:r>
      <w:r w:rsidR="009D4343">
        <w:rPr>
          <w:rFonts w:asciiTheme="majorHAnsi" w:eastAsia="Times New Roman" w:hAnsiTheme="majorHAnsi" w:cs="Arial"/>
          <w:szCs w:val="24"/>
        </w:rPr>
        <w:t>fferently, to the system.</w:t>
      </w:r>
    </w:p>
    <w:p w:rsidR="00193065" w:rsidRPr="00F76E3F" w:rsidRDefault="00193065"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 proposal to move to differentiated levels of TEF from year two is inevitable, given the stated aims of the Green Paper. It is not possible, however, to comment further on this until more information is available.</w:t>
      </w:r>
    </w:p>
    <w:p w:rsidR="00E458FA" w:rsidRPr="00E458FA" w:rsidRDefault="00E458FA" w:rsidP="00BD4C03">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Question 6: Do you agree with the proposed approach to TEF assessments on </w:t>
      </w:r>
    </w:p>
    <w:p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Timing?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886334337"/>
          <w14:checkbox>
            <w14:checked w14:val="0"/>
            <w14:checkedState w14:val="2612" w14:font="Yu Gothic UI"/>
            <w14:uncheckedState w14:val="2610" w14:font="Yu Gothic UI"/>
          </w14:checkbox>
        </w:sdtPr>
        <w:sdtContent>
          <w:r w:rsidR="00C82031">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6156794"/>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46070134"/>
          <w14:checkbox>
            <w14:checked w14:val="1"/>
            <w14:checkedState w14:val="2612" w14:font="Yu Gothic UI"/>
            <w14:uncheckedState w14:val="2610" w14:font="Yu Gothic UI"/>
          </w14:checkbox>
        </w:sdtPr>
        <w:sdtContent>
          <w:r w:rsidR="00C82031">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Assessment panels?</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25459655"/>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22497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4324274"/>
          <w14:checkbox>
            <w14:checked w14:val="1"/>
            <w14:checkedState w14:val="2612" w14:font="Yu Gothic UI"/>
            <w14:uncheckedState w14:val="2610" w14:font="Yu Gothic UI"/>
          </w14:checkbox>
        </w:sdtPr>
        <w:sdtContent>
          <w:r w:rsidR="00F779DF">
            <w:rPr>
              <w:rFonts w:ascii="Segoe UI Symbol" w:eastAsia="MS Gothic"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 and process?</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18320868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1212049"/>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65754743"/>
          <w14:checkbox>
            <w14:checked w14:val="1"/>
            <w14:checkedState w14:val="2612" w14:font="Yu Gothic UI"/>
            <w14:uncheckedState w14:val="2610" w14:font="Yu Gothic UI"/>
          </w14:checkbox>
        </w:sdtPr>
        <w:sdtContent>
          <w:r w:rsidR="00F779DF">
            <w:rPr>
              <w:rFonts w:ascii="Segoe UI Symbol" w:eastAsia="MS Gothic"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Arial"/>
          <w:bCs/>
          <w:szCs w:val="24"/>
        </w:rPr>
        <w:t xml:space="preserve">Please give reasons for your answer. </w:t>
      </w:r>
    </w:p>
    <w:p w:rsidR="00F779DF" w:rsidRDefault="00F779DF" w:rsidP="00E458FA">
      <w:pPr>
        <w:spacing w:after="288" w:line="240" w:lineRule="auto"/>
        <w:ind w:left="142"/>
        <w:rPr>
          <w:rFonts w:asciiTheme="majorHAnsi" w:eastAsia="Times New Roman" w:hAnsiTheme="majorHAnsi" w:cs="Times New Roman"/>
          <w:bCs/>
          <w:iCs/>
          <w:szCs w:val="24"/>
        </w:rPr>
      </w:pPr>
      <w:r>
        <w:rPr>
          <w:rFonts w:asciiTheme="majorHAnsi" w:eastAsia="Times New Roman" w:hAnsiTheme="majorHAnsi" w:cs="Times New Roman"/>
          <w:bCs/>
          <w:iCs/>
          <w:szCs w:val="24"/>
        </w:rPr>
        <w:t xml:space="preserve">There is more than one assessment period mentioned in the Green Paper, although it opts for a five-year rolling programme, which is preferable to a three-year cycle; there may </w:t>
      </w:r>
      <w:r w:rsidR="00C82031">
        <w:rPr>
          <w:rFonts w:asciiTheme="majorHAnsi" w:eastAsia="Times New Roman" w:hAnsiTheme="majorHAnsi" w:cs="Times New Roman"/>
          <w:bCs/>
          <w:iCs/>
          <w:szCs w:val="24"/>
        </w:rPr>
        <w:t>be arguments for a six</w:t>
      </w:r>
      <w:r>
        <w:rPr>
          <w:rFonts w:asciiTheme="majorHAnsi" w:eastAsia="Times New Roman" w:hAnsiTheme="majorHAnsi" w:cs="Times New Roman"/>
          <w:bCs/>
          <w:iCs/>
          <w:szCs w:val="24"/>
        </w:rPr>
        <w:t>-year cycle, as is the case with the REF, which would balance the need to secure up-to-date information with the least burden on institutions and academic staff.</w:t>
      </w:r>
    </w:p>
    <w:p w:rsidR="00E458FA" w:rsidRDefault="00F779DF" w:rsidP="00E458FA">
      <w:pPr>
        <w:spacing w:after="288" w:line="240" w:lineRule="auto"/>
        <w:ind w:left="142"/>
        <w:rPr>
          <w:rFonts w:asciiTheme="majorHAnsi" w:eastAsia="Times New Roman" w:hAnsiTheme="majorHAnsi" w:cs="Times New Roman"/>
          <w:bCs/>
          <w:iCs/>
          <w:szCs w:val="24"/>
        </w:rPr>
      </w:pPr>
      <w:r>
        <w:rPr>
          <w:rFonts w:asciiTheme="majorHAnsi" w:eastAsia="Times New Roman" w:hAnsiTheme="majorHAnsi" w:cs="Times New Roman"/>
          <w:bCs/>
          <w:iCs/>
          <w:szCs w:val="24"/>
        </w:rPr>
        <w:t>It is impossible to give firm responses to the second and third questions in the absence of further information on how the panels will be put together and what their precise roles and responsibilities will be.</w:t>
      </w:r>
    </w:p>
    <w:p w:rsidR="00E458FA" w:rsidRDefault="00F779DF" w:rsidP="00E458FA">
      <w:pPr>
        <w:spacing w:after="288" w:line="240" w:lineRule="auto"/>
        <w:ind w:left="142"/>
        <w:rPr>
          <w:rFonts w:asciiTheme="majorHAnsi" w:eastAsia="Times New Roman" w:hAnsiTheme="majorHAnsi" w:cs="Times New Roman"/>
          <w:bCs/>
          <w:iCs/>
          <w:szCs w:val="24"/>
        </w:rPr>
      </w:pPr>
      <w:r>
        <w:rPr>
          <w:rFonts w:asciiTheme="majorHAnsi" w:eastAsia="Times New Roman" w:hAnsiTheme="majorHAnsi" w:cs="Times New Roman"/>
          <w:bCs/>
          <w:iCs/>
          <w:szCs w:val="24"/>
        </w:rPr>
        <w:t xml:space="preserve">It is odd that there is no question in this consultation on </w:t>
      </w:r>
      <w:r w:rsidR="00244283">
        <w:rPr>
          <w:rFonts w:asciiTheme="majorHAnsi" w:eastAsia="Times New Roman" w:hAnsiTheme="majorHAnsi" w:cs="Times New Roman"/>
          <w:bCs/>
          <w:iCs/>
          <w:szCs w:val="24"/>
        </w:rPr>
        <w:t>the suggestion that a GPA degree classification system be developed</w:t>
      </w:r>
      <w:r>
        <w:rPr>
          <w:rFonts w:asciiTheme="majorHAnsi" w:eastAsia="Times New Roman" w:hAnsiTheme="majorHAnsi" w:cs="Times New Roman"/>
          <w:bCs/>
          <w:iCs/>
          <w:szCs w:val="24"/>
        </w:rPr>
        <w:t xml:space="preserve"> alongside </w:t>
      </w:r>
      <w:r w:rsidR="00244283">
        <w:rPr>
          <w:rFonts w:asciiTheme="majorHAnsi" w:eastAsia="Times New Roman" w:hAnsiTheme="majorHAnsi" w:cs="Times New Roman"/>
          <w:bCs/>
          <w:iCs/>
          <w:szCs w:val="24"/>
        </w:rPr>
        <w:t xml:space="preserve">the existing one. The phrasing of the relevant paragraphs suggests that the Government thinks there is a problem with what we have now and would like to see a GPA system used more widely: indeed, it will require that HEIs provide information on their progress in introducing GPA, even whilst recognising that it will not resolve the issue of </w:t>
      </w:r>
      <w:r w:rsidR="00BD4C03">
        <w:rPr>
          <w:rFonts w:asciiTheme="majorHAnsi" w:eastAsia="Times New Roman" w:hAnsiTheme="majorHAnsi" w:cs="Times New Roman"/>
          <w:bCs/>
          <w:iCs/>
          <w:szCs w:val="24"/>
        </w:rPr>
        <w:t>‘grade inflation’</w:t>
      </w:r>
      <w:r w:rsidR="00244283">
        <w:rPr>
          <w:rFonts w:asciiTheme="majorHAnsi" w:eastAsia="Times New Roman" w:hAnsiTheme="majorHAnsi" w:cs="Times New Roman"/>
          <w:bCs/>
          <w:iCs/>
          <w:szCs w:val="24"/>
        </w:rPr>
        <w:t xml:space="preserve"> and will not be used in determining success in TEF. It is not enough to leave this to a ‘technical consultation’ in 2016, since there are issues of principle and pr</w:t>
      </w:r>
      <w:r w:rsidR="00A779DD">
        <w:rPr>
          <w:rFonts w:asciiTheme="majorHAnsi" w:eastAsia="Times New Roman" w:hAnsiTheme="majorHAnsi" w:cs="Times New Roman"/>
          <w:bCs/>
          <w:iCs/>
          <w:szCs w:val="24"/>
        </w:rPr>
        <w:t xml:space="preserve">actice involved that require </w:t>
      </w:r>
      <w:r w:rsidR="00244283">
        <w:rPr>
          <w:rFonts w:asciiTheme="majorHAnsi" w:eastAsia="Times New Roman" w:hAnsiTheme="majorHAnsi" w:cs="Times New Roman"/>
          <w:bCs/>
          <w:iCs/>
          <w:szCs w:val="24"/>
        </w:rPr>
        <w:t>debate. SCUDD is not hostile the idea of a GPA classification system; at this point, we would simply like to see it more widely debated.</w:t>
      </w:r>
    </w:p>
    <w:p w:rsidR="00F316CB" w:rsidRPr="00E458FA" w:rsidRDefault="00F316CB" w:rsidP="00E458FA">
      <w:pPr>
        <w:spacing w:after="288" w:line="240" w:lineRule="auto"/>
        <w:ind w:left="142"/>
        <w:rPr>
          <w:rFonts w:eastAsia="Times New Roman" w:cs="Times New Roman"/>
          <w:bCs/>
          <w:iCs/>
          <w:szCs w:val="24"/>
        </w:rPr>
      </w:pPr>
    </w:p>
    <w:p w:rsid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7: How can we minimise</w:t>
      </w:r>
      <w:r w:rsidR="00000F71">
        <w:rPr>
          <w:rFonts w:eastAsia="Times New Roman" w:cs="Times New Roman"/>
          <w:bCs/>
          <w:iCs/>
          <w:szCs w:val="24"/>
        </w:rPr>
        <w:t xml:space="preserve"> any administrative burdens on i</w:t>
      </w:r>
      <w:r w:rsidRPr="00E458FA">
        <w:rPr>
          <w:rFonts w:eastAsia="Times New Roman" w:cs="Times New Roman"/>
          <w:bCs/>
          <w:iCs/>
          <w:szCs w:val="24"/>
        </w:rPr>
        <w:t>nstitutions?  Please provide any evidence relating to the potential administrative costs and benefits to institutions of the proposals set out in this document.</w:t>
      </w:r>
    </w:p>
    <w:p w:rsidR="00244283" w:rsidRDefault="00F316CB" w:rsidP="00E458FA">
      <w:pPr>
        <w:spacing w:after="288" w:line="240" w:lineRule="auto"/>
        <w:ind w:left="142"/>
        <w:rPr>
          <w:rFonts w:asciiTheme="majorHAnsi" w:eastAsia="Times New Roman" w:hAnsiTheme="majorHAnsi" w:cs="Times New Roman"/>
          <w:bCs/>
          <w:iCs/>
          <w:szCs w:val="24"/>
        </w:rPr>
      </w:pPr>
      <w:r>
        <w:rPr>
          <w:rFonts w:asciiTheme="majorHAnsi" w:eastAsia="Times New Roman" w:hAnsiTheme="majorHAnsi" w:cs="Times New Roman"/>
          <w:bCs/>
          <w:iCs/>
          <w:szCs w:val="24"/>
        </w:rPr>
        <w:t xml:space="preserve">The bureaucratic burden of TEF for HEIs is one of the main objections to the proposals. We are not in a position to provide detailed evidence of precise costs, although the experience of the REF suggests that actual costs </w:t>
      </w:r>
      <w:r w:rsidR="004D53B8">
        <w:rPr>
          <w:rFonts w:asciiTheme="majorHAnsi" w:eastAsia="Times New Roman" w:hAnsiTheme="majorHAnsi" w:cs="Times New Roman"/>
          <w:bCs/>
          <w:iCs/>
          <w:szCs w:val="24"/>
        </w:rPr>
        <w:t xml:space="preserve">always </w:t>
      </w:r>
      <w:r>
        <w:rPr>
          <w:rFonts w:asciiTheme="majorHAnsi" w:eastAsia="Times New Roman" w:hAnsiTheme="majorHAnsi" w:cs="Times New Roman"/>
          <w:bCs/>
          <w:iCs/>
          <w:szCs w:val="24"/>
        </w:rPr>
        <w:t xml:space="preserve">exceed estimates. </w:t>
      </w:r>
    </w:p>
    <w:p w:rsidR="00E458FA" w:rsidRPr="00E458FA" w:rsidRDefault="00F316CB" w:rsidP="00E458FA">
      <w:pPr>
        <w:spacing w:after="288" w:line="240" w:lineRule="auto"/>
        <w:ind w:left="142"/>
        <w:rPr>
          <w:rFonts w:eastAsia="Times New Roman" w:cs="Times New Roman"/>
          <w:bCs/>
          <w:iCs/>
          <w:szCs w:val="24"/>
        </w:rPr>
      </w:pPr>
      <w:r>
        <w:rPr>
          <w:rFonts w:asciiTheme="majorHAnsi" w:eastAsia="Times New Roman" w:hAnsiTheme="majorHAnsi" w:cs="Times New Roman"/>
          <w:bCs/>
          <w:iCs/>
          <w:szCs w:val="24"/>
        </w:rPr>
        <w:t xml:space="preserve">There will be an increased burden whilst universities accommodate the new requirements and change their procedures. Whilst these may pass over time, experience of the REF suggests that where there is reputational and financial advantage to be gained, universities will expend considerable effort to ensure that </w:t>
      </w:r>
      <w:r w:rsidR="004D53B8">
        <w:rPr>
          <w:rFonts w:asciiTheme="majorHAnsi" w:eastAsia="Times New Roman" w:hAnsiTheme="majorHAnsi" w:cs="Times New Roman"/>
          <w:bCs/>
          <w:iCs/>
          <w:szCs w:val="24"/>
        </w:rPr>
        <w:t>they obtain the ‘best’ results, and this will inevitably have a direct impact on academics, who will be at</w:t>
      </w:r>
      <w:r w:rsidR="005D5809">
        <w:rPr>
          <w:rFonts w:asciiTheme="majorHAnsi" w:eastAsia="Times New Roman" w:hAnsiTheme="majorHAnsi" w:cs="Times New Roman"/>
          <w:bCs/>
          <w:iCs/>
          <w:szCs w:val="24"/>
        </w:rPr>
        <w:t xml:space="preserve"> the front-line in delivering them</w:t>
      </w:r>
      <w:r w:rsidR="004D53B8">
        <w:rPr>
          <w:rFonts w:asciiTheme="majorHAnsi" w:eastAsia="Times New Roman" w:hAnsiTheme="majorHAnsi" w:cs="Times New Roman"/>
          <w:bCs/>
          <w:iCs/>
          <w:szCs w:val="24"/>
        </w:rPr>
        <w:t>. One fear, voiced consistently and loudly by SCUDD members, is that TEF might have the paradoxical effect of making excellent teaching harder to achieve because of the increased bureaucratic burden it will place on teachers.</w:t>
      </w: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 xml:space="preserve">Question 8: Do you agree with the proposed approach to differentiation and award as TEF develops over time?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739120124"/>
          <w14:checkbox>
            <w14:checked w14:val="0"/>
            <w14:checkedState w14:val="2612" w14:font="Yu Gothic UI"/>
            <w14:uncheckedState w14:val="2610" w14:font="Yu Gothic UI"/>
          </w14:checkbox>
        </w:sdtPr>
        <w:sdtContent>
          <w:r w:rsidR="00D05C11">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083635735"/>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563133339"/>
          <w14:checkbox>
            <w14:checked w14:val="1"/>
            <w14:checkedState w14:val="2612" w14:font="Yu Gothic UI"/>
            <w14:uncheckedState w14:val="2610" w14:font="Yu Gothic UI"/>
          </w14:checkbox>
        </w:sdtPr>
        <w:sdtContent>
          <w:r w:rsidR="00D05C11">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Please give reasons for your answer.</w:t>
      </w:r>
    </w:p>
    <w:p w:rsidR="00E458FA" w:rsidRPr="00E458FA" w:rsidRDefault="00D05C11" w:rsidP="00D05C11">
      <w:pPr>
        <w:tabs>
          <w:tab w:val="left" w:pos="567"/>
        </w:tabs>
        <w:spacing w:after="288" w:line="240" w:lineRule="auto"/>
        <w:ind w:right="11"/>
        <w:rPr>
          <w:rFonts w:eastAsia="Times New Roman" w:cs="Arial"/>
          <w:szCs w:val="24"/>
        </w:rPr>
      </w:pPr>
      <w:r>
        <w:rPr>
          <w:rFonts w:asciiTheme="majorHAnsi" w:eastAsia="Times New Roman" w:hAnsiTheme="majorHAnsi" w:cs="Arial"/>
          <w:szCs w:val="24"/>
        </w:rPr>
        <w:t xml:space="preserve">Some form of differentiation is inevitable if the TEF is to have any value, and the general approach seems sensible. However, there is little detail about how it would operate, or what criteria would be used, and the devil will be certainly </w:t>
      </w:r>
      <w:proofErr w:type="gramStart"/>
      <w:r>
        <w:rPr>
          <w:rFonts w:asciiTheme="majorHAnsi" w:eastAsia="Times New Roman" w:hAnsiTheme="majorHAnsi" w:cs="Arial"/>
          <w:szCs w:val="24"/>
        </w:rPr>
        <w:t>be</w:t>
      </w:r>
      <w:proofErr w:type="gramEnd"/>
      <w:r>
        <w:rPr>
          <w:rFonts w:asciiTheme="majorHAnsi" w:eastAsia="Times New Roman" w:hAnsiTheme="majorHAnsi" w:cs="Arial"/>
          <w:szCs w:val="24"/>
        </w:rPr>
        <w:t xml:space="preserve"> in the detail.</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9: Do you agree with the proposed approach to incentives for the different types of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95140120"/>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716966"/>
          <w14:checkbox>
            <w14:checked w14:val="1"/>
            <w14:checkedState w14:val="2612" w14:font="Yu Gothic UI"/>
            <w14:uncheckedState w14:val="2610" w14:font="Yu Gothic UI"/>
          </w14:checkbox>
        </w:sdtPr>
        <w:sdtContent>
          <w:r w:rsidR="00912AA4">
            <w:rPr>
              <w:rFonts w:ascii="Segoe UI Symbol" w:eastAsia="Yu Gothic UI" w:hAnsi="Segoe UI Symbol" w:cs="Segoe UI Symbol"/>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75829569"/>
          <w14:checkbox>
            <w14:checked w14:val="0"/>
            <w14:checkedState w14:val="2612" w14:font="Yu Gothic UI"/>
            <w14:uncheckedState w14:val="2610" w14:font="Yu Gothic UI"/>
          </w14:checkbox>
        </w:sdtPr>
        <w:sdtContent>
          <w:r w:rsidR="00912AA4">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912AA4" w:rsidRDefault="00D05C11"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The premise of the Green Paper is that financial incentives will be important to how seriously the HE sector takes the TEF. </w:t>
      </w:r>
      <w:r w:rsidR="00912AA4">
        <w:rPr>
          <w:rFonts w:asciiTheme="majorHAnsi" w:eastAsia="Times New Roman" w:hAnsiTheme="majorHAnsi" w:cs="Arial"/>
          <w:szCs w:val="24"/>
        </w:rPr>
        <w:t>Given that SCUDD is sceptical about the TEF pr</w:t>
      </w:r>
      <w:r w:rsidR="00145AD9">
        <w:rPr>
          <w:rFonts w:asciiTheme="majorHAnsi" w:eastAsia="Times New Roman" w:hAnsiTheme="majorHAnsi" w:cs="Arial"/>
          <w:szCs w:val="24"/>
        </w:rPr>
        <w:t xml:space="preserve">ocess, and about the reliability of any system for measuring teaching quality, it does not believe that it should be underpinned by financial inducements. </w:t>
      </w:r>
    </w:p>
    <w:p w:rsidR="009D4343" w:rsidRDefault="009D4343"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In any case, there is no guarantee that additional fee income will be channelle</w:t>
      </w:r>
      <w:r w:rsidR="007E0B3F">
        <w:rPr>
          <w:rFonts w:asciiTheme="majorHAnsi" w:eastAsia="Times New Roman" w:hAnsiTheme="majorHAnsi" w:cs="Arial"/>
          <w:szCs w:val="24"/>
        </w:rPr>
        <w:t>d into teaching (unlike the REF, where additional money directly supports research activity) and the Green Paper does not propose any means of ring-fencing fee increases, nor indicate that government is thinking of doing so.</w:t>
      </w:r>
    </w:p>
    <w:p w:rsidR="00E458FA" w:rsidRPr="00D05C11" w:rsidRDefault="00FB72DA"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There is some scepticism (</w:t>
      </w:r>
      <w:proofErr w:type="spellStart"/>
      <w:r>
        <w:rPr>
          <w:rFonts w:asciiTheme="majorHAnsi" w:eastAsia="Times New Roman" w:hAnsiTheme="majorHAnsi" w:cs="Arial"/>
          <w:szCs w:val="24"/>
        </w:rPr>
        <w:t>eg</w:t>
      </w:r>
      <w:proofErr w:type="spellEnd"/>
      <w:r>
        <w:rPr>
          <w:rFonts w:asciiTheme="majorHAnsi" w:eastAsia="Times New Roman" w:hAnsiTheme="majorHAnsi" w:cs="Arial"/>
          <w:szCs w:val="24"/>
        </w:rPr>
        <w:t xml:space="preserve"> in the pages of the THE) about the degree to which the ability to raise fees will ensure willing participation, but if this is to be the approach, then it is essential t</w:t>
      </w:r>
      <w:r w:rsidR="00A96C79">
        <w:rPr>
          <w:rFonts w:asciiTheme="majorHAnsi" w:eastAsia="Times New Roman" w:hAnsiTheme="majorHAnsi" w:cs="Arial"/>
          <w:szCs w:val="24"/>
        </w:rPr>
        <w:t>hat everyone is treated fairly, which does not necessarily mean being treated the same, if</w:t>
      </w:r>
      <w:r w:rsidR="0067329C">
        <w:rPr>
          <w:rFonts w:asciiTheme="majorHAnsi" w:eastAsia="Times New Roman" w:hAnsiTheme="majorHAnsi" w:cs="Arial"/>
          <w:szCs w:val="24"/>
        </w:rPr>
        <w:t xml:space="preserve"> there</w:t>
      </w:r>
      <w:r w:rsidR="00A96C79">
        <w:rPr>
          <w:rFonts w:asciiTheme="majorHAnsi" w:eastAsia="Times New Roman" w:hAnsiTheme="majorHAnsi" w:cs="Arial"/>
          <w:szCs w:val="24"/>
        </w:rPr>
        <w:t xml:space="preserve"> is more than one system in operation. If, however, the decision is made to bring all providers into a single regulatory framework, then there will be no need for differential incentives.</w:t>
      </w:r>
    </w:p>
    <w:p w:rsidR="00E458FA" w:rsidRPr="00E458FA" w:rsidRDefault="00E458FA" w:rsidP="00FB72D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10: Do you agree with the focus on teaching quality, learning environment, student outcomes and learning gain?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548266895"/>
          <w14:checkbox>
            <w14:checked w14:val="0"/>
            <w14:checkedState w14:val="2612" w14:font="Yu Gothic UI"/>
            <w14:uncheckedState w14:val="2610" w14:font="Yu Gothic UI"/>
          </w14:checkbox>
        </w:sdtPr>
        <w:sdtContent>
          <w:r w:rsidR="00C82031">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77536797"/>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258367697"/>
          <w14:checkbox>
            <w14:checked w14:val="1"/>
            <w14:checkedState w14:val="2612" w14:font="Yu Gothic UI"/>
            <w14:uncheckedState w14:val="2610" w14:font="Yu Gothic UI"/>
          </w14:checkbox>
        </w:sdtPr>
        <w:sdtContent>
          <w:r w:rsidR="00C82031">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Default="00E458FA" w:rsidP="00A96C79">
      <w:pPr>
        <w:tabs>
          <w:tab w:val="left" w:pos="567"/>
        </w:tabs>
        <w:spacing w:after="288" w:line="240" w:lineRule="auto"/>
        <w:ind w:left="142" w:right="11"/>
        <w:rPr>
          <w:rFonts w:eastAsia="Times New Roman" w:cs="Arial"/>
          <w:szCs w:val="24"/>
        </w:rPr>
      </w:pPr>
      <w:r w:rsidRPr="00E458FA">
        <w:rPr>
          <w:rFonts w:eastAsia="Times New Roman" w:cs="Arial"/>
          <w:szCs w:val="24"/>
        </w:rPr>
        <w:t>Plea</w:t>
      </w:r>
      <w:r w:rsidR="00A96C79">
        <w:rPr>
          <w:rFonts w:eastAsia="Times New Roman" w:cs="Arial"/>
          <w:szCs w:val="24"/>
        </w:rPr>
        <w:t>se give reasons for your answer</w:t>
      </w:r>
    </w:p>
    <w:p w:rsidR="00A96C79" w:rsidRDefault="00A96C79" w:rsidP="00A96C79">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With the caveat that SCUDD does not think that the case that TEF will ensure teaching excellence had been made, these are probably the key areas to focus on in any assessment process. </w:t>
      </w:r>
    </w:p>
    <w:p w:rsidR="00007E1D" w:rsidRDefault="00007E1D" w:rsidP="00A96C79">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 illustrative criteria that flesh out each category show that a broad approach is being considered, which is to be welcomed (</w:t>
      </w:r>
      <w:proofErr w:type="spellStart"/>
      <w:r>
        <w:rPr>
          <w:rFonts w:asciiTheme="majorHAnsi" w:eastAsia="Times New Roman" w:hAnsiTheme="majorHAnsi" w:cs="Arial"/>
          <w:szCs w:val="24"/>
        </w:rPr>
        <w:t>eg</w:t>
      </w:r>
      <w:proofErr w:type="spellEnd"/>
      <w:r>
        <w:rPr>
          <w:rFonts w:asciiTheme="majorHAnsi" w:eastAsia="Times New Roman" w:hAnsiTheme="majorHAnsi" w:cs="Arial"/>
          <w:szCs w:val="24"/>
        </w:rPr>
        <w:t xml:space="preserve">, learning resources should certainly include staff resource issues, such as professional development and explicit career pathways). </w:t>
      </w:r>
    </w:p>
    <w:p w:rsidR="00007E1D" w:rsidRDefault="00007E1D" w:rsidP="00A96C79">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However, it is by no means a simple matter to arrive at metrical, or other, measurements of some of the criteria being proposed that will suit all academic disciplines. Measuring ‘added value’ for students (para 9) is often very difficult, and criteria will need to accommodate </w:t>
      </w:r>
      <w:r w:rsidR="005E44E7">
        <w:rPr>
          <w:rFonts w:asciiTheme="majorHAnsi" w:eastAsia="Times New Roman" w:hAnsiTheme="majorHAnsi" w:cs="Arial"/>
          <w:szCs w:val="24"/>
        </w:rPr>
        <w:t>the varied</w:t>
      </w:r>
      <w:r>
        <w:rPr>
          <w:rFonts w:asciiTheme="majorHAnsi" w:eastAsia="Times New Roman" w:hAnsiTheme="majorHAnsi" w:cs="Arial"/>
          <w:szCs w:val="24"/>
        </w:rPr>
        <w:t xml:space="preserve"> teaching modes, styles and objectives of different academic disciplines. </w:t>
      </w:r>
    </w:p>
    <w:p w:rsidR="007E0B3F" w:rsidRDefault="00007E1D" w:rsidP="007E0B3F">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There is also currently a debate in the sector concerning what constitutes ‘employability’ or ‘career readiness’, and these will both inform, and be shaped by, </w:t>
      </w:r>
      <w:r w:rsidR="005E44E7">
        <w:rPr>
          <w:rFonts w:asciiTheme="majorHAnsi" w:eastAsia="Times New Roman" w:hAnsiTheme="majorHAnsi" w:cs="Arial"/>
          <w:szCs w:val="24"/>
        </w:rPr>
        <w:t>TEF criteria. Once more, the absence of detail is frustrating.</w:t>
      </w:r>
    </w:p>
    <w:p w:rsidR="005E44E7" w:rsidRPr="00A96C79" w:rsidRDefault="005E44E7" w:rsidP="00A96C79">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It is our strong conviction that there is more at stake in the development of TEF criteria than can be dealt with in a ‘technical’ consultation, and that key questions of pedagogical practice are in danger of being avoided.</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11: Do you agree with the proposed approach to the evidence used to make TEF assessments - common metrics derived from the national databases supported by evidence from the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7603685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3280507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71814916"/>
          <w14:checkbox>
            <w14:checked w14:val="1"/>
            <w14:checkedState w14:val="2612" w14:font="Yu Gothic UI"/>
            <w14:uncheckedState w14:val="2610" w14:font="Yu Gothic UI"/>
          </w14:checkbox>
        </w:sdtPr>
        <w:sdtContent>
          <w:r w:rsidR="005E44E7">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Default="005E44E7" w:rsidP="00E458FA">
      <w:pPr>
        <w:spacing w:after="288" w:line="240" w:lineRule="auto"/>
        <w:ind w:left="142"/>
        <w:rPr>
          <w:rFonts w:asciiTheme="majorHAnsi" w:eastAsia="Times New Roman" w:hAnsiTheme="majorHAnsi" w:cs="Times New Roman"/>
          <w:szCs w:val="24"/>
        </w:rPr>
      </w:pPr>
      <w:r>
        <w:rPr>
          <w:rFonts w:asciiTheme="majorHAnsi" w:eastAsia="Times New Roman" w:hAnsiTheme="majorHAnsi" w:cs="Times New Roman"/>
          <w:szCs w:val="24"/>
        </w:rPr>
        <w:t xml:space="preserve">The common metrics mentioned are already being used in HE, perhaps variably, both in the construction of league tables and internally by universities, so there would be little change to the amount and kind of information available from these sources. The Green Paper acknowledges that there are concerns about the validity of some of the information – </w:t>
      </w:r>
      <w:proofErr w:type="spellStart"/>
      <w:r>
        <w:rPr>
          <w:rFonts w:asciiTheme="majorHAnsi" w:eastAsia="Times New Roman" w:hAnsiTheme="majorHAnsi" w:cs="Times New Roman"/>
          <w:szCs w:val="24"/>
        </w:rPr>
        <w:t>eg</w:t>
      </w:r>
      <w:proofErr w:type="spellEnd"/>
      <w:r>
        <w:rPr>
          <w:rFonts w:asciiTheme="majorHAnsi" w:eastAsia="Times New Roman" w:hAnsiTheme="majorHAnsi" w:cs="Times New Roman"/>
          <w:szCs w:val="24"/>
        </w:rPr>
        <w:t xml:space="preserve"> NSS scores. Clearly, additional information is required.</w:t>
      </w:r>
    </w:p>
    <w:p w:rsidR="007E0B3F" w:rsidRPr="00515757" w:rsidRDefault="007E0B3F" w:rsidP="00E458FA">
      <w:pPr>
        <w:spacing w:after="288" w:line="240" w:lineRule="auto"/>
        <w:ind w:left="142"/>
        <w:rPr>
          <w:rFonts w:asciiTheme="majorHAnsi" w:eastAsia="Times New Roman" w:hAnsiTheme="majorHAnsi" w:cs="Times New Roman"/>
          <w:szCs w:val="24"/>
        </w:rPr>
      </w:pPr>
      <w:r>
        <w:rPr>
          <w:rFonts w:asciiTheme="majorHAnsi" w:eastAsia="Times New Roman" w:hAnsiTheme="majorHAnsi" w:cs="Times New Roman"/>
          <w:szCs w:val="24"/>
        </w:rPr>
        <w:t>These metrics, however, are not designed to measure ‘teaching excellence’, and are very unlikely to stand as proxies for it. Such metrics will serve to standardise practice rather than provide incentives to develop teaching excellence.</w:t>
      </w:r>
      <w:r w:rsidR="00515757">
        <w:rPr>
          <w:rFonts w:asciiTheme="majorHAnsi" w:eastAsia="Times New Roman" w:hAnsiTheme="majorHAnsi" w:cs="Times New Roman"/>
          <w:szCs w:val="24"/>
        </w:rPr>
        <w:t xml:space="preserve"> All available evidence suggests that what students value is lecturers that are passionate and knowledgeable about their subject, approachable and willing to invest time in, and offer support to, students (</w:t>
      </w:r>
      <w:proofErr w:type="spellStart"/>
      <w:r w:rsidR="00515757">
        <w:rPr>
          <w:rFonts w:asciiTheme="majorHAnsi" w:eastAsia="Times New Roman" w:hAnsiTheme="majorHAnsi" w:cs="Times New Roman"/>
          <w:szCs w:val="24"/>
        </w:rPr>
        <w:t>Kandiko</w:t>
      </w:r>
      <w:proofErr w:type="spellEnd"/>
      <w:r w:rsidR="00515757">
        <w:rPr>
          <w:rFonts w:asciiTheme="majorHAnsi" w:eastAsia="Times New Roman" w:hAnsiTheme="majorHAnsi" w:cs="Times New Roman"/>
          <w:szCs w:val="24"/>
        </w:rPr>
        <w:t xml:space="preserve"> C., and </w:t>
      </w:r>
      <w:proofErr w:type="spellStart"/>
      <w:r w:rsidR="00515757">
        <w:rPr>
          <w:rFonts w:asciiTheme="majorHAnsi" w:eastAsia="Times New Roman" w:hAnsiTheme="majorHAnsi" w:cs="Times New Roman"/>
          <w:szCs w:val="24"/>
        </w:rPr>
        <w:t>Mawer</w:t>
      </w:r>
      <w:proofErr w:type="spellEnd"/>
      <w:r w:rsidR="00515757">
        <w:rPr>
          <w:rFonts w:asciiTheme="majorHAnsi" w:eastAsia="Times New Roman" w:hAnsiTheme="majorHAnsi" w:cs="Times New Roman"/>
          <w:szCs w:val="24"/>
        </w:rPr>
        <w:t xml:space="preserve">, M. (2014), </w:t>
      </w:r>
      <w:r w:rsidR="00515757">
        <w:rPr>
          <w:rFonts w:asciiTheme="majorHAnsi" w:eastAsia="Times New Roman" w:hAnsiTheme="majorHAnsi" w:cs="Times New Roman"/>
          <w:i/>
          <w:szCs w:val="24"/>
        </w:rPr>
        <w:t>Student expectations and perceptions of higher education</w:t>
      </w:r>
      <w:r w:rsidR="00515757">
        <w:rPr>
          <w:rFonts w:asciiTheme="majorHAnsi" w:eastAsia="Times New Roman" w:hAnsiTheme="majorHAnsi" w:cs="Times New Roman"/>
          <w:szCs w:val="24"/>
        </w:rPr>
        <w:t xml:space="preserve">, KCL/QAA). Metrics, common or otherwise, will struggle to measure this kind of evidence. </w:t>
      </w:r>
    </w:p>
    <w:p w:rsidR="00515757" w:rsidRDefault="00515757" w:rsidP="00E458FA">
      <w:pPr>
        <w:spacing w:after="288" w:line="240" w:lineRule="auto"/>
        <w:ind w:left="142"/>
        <w:rPr>
          <w:rFonts w:asciiTheme="majorHAnsi" w:eastAsia="Times New Roman" w:hAnsiTheme="majorHAnsi" w:cs="Times New Roman"/>
          <w:szCs w:val="24"/>
        </w:rPr>
      </w:pPr>
    </w:p>
    <w:p w:rsidR="00200B5A" w:rsidRDefault="00200B5A" w:rsidP="00E458FA">
      <w:pPr>
        <w:spacing w:after="288" w:line="240" w:lineRule="auto"/>
        <w:ind w:left="142"/>
        <w:rPr>
          <w:rFonts w:asciiTheme="majorHAnsi" w:eastAsia="Times New Roman" w:hAnsiTheme="majorHAnsi" w:cs="Times New Roman"/>
          <w:szCs w:val="24"/>
        </w:rPr>
      </w:pPr>
      <w:r>
        <w:rPr>
          <w:rFonts w:asciiTheme="majorHAnsi" w:eastAsia="Times New Roman" w:hAnsiTheme="majorHAnsi" w:cs="Times New Roman"/>
          <w:szCs w:val="24"/>
        </w:rPr>
        <w:t>The Paper suggests that additional met</w:t>
      </w:r>
      <w:r w:rsidR="00515757">
        <w:rPr>
          <w:rFonts w:asciiTheme="majorHAnsi" w:eastAsia="Times New Roman" w:hAnsiTheme="majorHAnsi" w:cs="Times New Roman"/>
          <w:szCs w:val="24"/>
        </w:rPr>
        <w:t>r</w:t>
      </w:r>
      <w:r>
        <w:rPr>
          <w:rFonts w:asciiTheme="majorHAnsi" w:eastAsia="Times New Roman" w:hAnsiTheme="majorHAnsi" w:cs="Times New Roman"/>
          <w:szCs w:val="24"/>
        </w:rPr>
        <w:t>ics</w:t>
      </w:r>
      <w:r w:rsidR="005E44E7">
        <w:rPr>
          <w:rFonts w:asciiTheme="majorHAnsi" w:eastAsia="Times New Roman" w:hAnsiTheme="majorHAnsi" w:cs="Times New Roman"/>
          <w:szCs w:val="24"/>
        </w:rPr>
        <w:t xml:space="preserve"> might come from the sector itself, and that institutions should provide </w:t>
      </w:r>
      <w:r w:rsidR="00A432A6">
        <w:rPr>
          <w:rFonts w:asciiTheme="majorHAnsi" w:eastAsia="Times New Roman" w:hAnsiTheme="majorHAnsi" w:cs="Times New Roman"/>
          <w:szCs w:val="24"/>
        </w:rPr>
        <w:t>both informatio</w:t>
      </w:r>
      <w:r>
        <w:rPr>
          <w:rFonts w:asciiTheme="majorHAnsi" w:eastAsia="Times New Roman" w:hAnsiTheme="majorHAnsi" w:cs="Times New Roman"/>
          <w:szCs w:val="24"/>
        </w:rPr>
        <w:t xml:space="preserve">n and criteria. This approach </w:t>
      </w:r>
      <w:r w:rsidR="00A432A6">
        <w:rPr>
          <w:rFonts w:asciiTheme="majorHAnsi" w:eastAsia="Times New Roman" w:hAnsiTheme="majorHAnsi" w:cs="Times New Roman"/>
          <w:szCs w:val="24"/>
        </w:rPr>
        <w:t xml:space="preserve">would allow individual HEIs to link questions of teaching excellence to their specific missions and identities, and help counter the charge that TEF is simply a top-down, one-size-fits-all mechanism. </w:t>
      </w:r>
      <w:r>
        <w:rPr>
          <w:rFonts w:asciiTheme="majorHAnsi" w:eastAsia="Times New Roman" w:hAnsiTheme="majorHAnsi" w:cs="Times New Roman"/>
          <w:szCs w:val="24"/>
        </w:rPr>
        <w:t>The danger, however, is that the emphasis on metrics will mean that HEIs will focus on systems and structures, rather than on incentivising individual teachers to improve their teaching. Indeed, one of the disappointing aspects of the Green Paper is the speed at which the link between individual teaching performance and the assessment of teaching excellence is abandoned – again, unlike the REF.</w:t>
      </w:r>
    </w:p>
    <w:p w:rsidR="00515757" w:rsidRPr="00E3441C" w:rsidRDefault="00A432A6" w:rsidP="00E458FA">
      <w:pPr>
        <w:spacing w:after="288" w:line="240" w:lineRule="auto"/>
        <w:ind w:left="142"/>
        <w:rPr>
          <w:rFonts w:asciiTheme="majorHAnsi" w:eastAsia="Times New Roman" w:hAnsiTheme="majorHAnsi" w:cs="Times New Roman"/>
          <w:szCs w:val="24"/>
        </w:rPr>
      </w:pPr>
      <w:r>
        <w:rPr>
          <w:rFonts w:asciiTheme="majorHAnsi" w:eastAsia="Times New Roman" w:hAnsiTheme="majorHAnsi" w:cs="Times New Roman"/>
          <w:szCs w:val="24"/>
        </w:rPr>
        <w:t>As TEF reaches the discipline level, then it is imperative that a much broader range of criteria – which will not be reducible to metrics – are allowed into the process. Teachers of drama and performance have developed, and are developing, innovative ways of engaging students in their studies and measuring student learning and achievement, often using the methods and teaching styles of the discipline itself (</w:t>
      </w:r>
      <w:proofErr w:type="spellStart"/>
      <w:r>
        <w:rPr>
          <w:rFonts w:asciiTheme="majorHAnsi" w:eastAsia="Times New Roman" w:hAnsiTheme="majorHAnsi" w:cs="Times New Roman"/>
          <w:szCs w:val="24"/>
        </w:rPr>
        <w:t>eg</w:t>
      </w:r>
      <w:proofErr w:type="spellEnd"/>
      <w:r>
        <w:rPr>
          <w:rFonts w:asciiTheme="majorHAnsi" w:eastAsia="Times New Roman" w:hAnsiTheme="majorHAnsi" w:cs="Times New Roman"/>
          <w:szCs w:val="24"/>
        </w:rPr>
        <w:t xml:space="preserve"> creative workshops, online critical reflection</w:t>
      </w:r>
      <w:r w:rsidR="0067329C">
        <w:rPr>
          <w:rFonts w:asciiTheme="majorHAnsi" w:eastAsia="Times New Roman" w:hAnsiTheme="majorHAnsi" w:cs="Times New Roman"/>
          <w:szCs w:val="24"/>
        </w:rPr>
        <w:t xml:space="preserve"> </w:t>
      </w:r>
      <w:r w:rsidR="00E3441C">
        <w:rPr>
          <w:rFonts w:asciiTheme="majorHAnsi" w:eastAsia="Times New Roman" w:hAnsiTheme="majorHAnsi" w:cs="Times New Roman"/>
          <w:szCs w:val="24"/>
        </w:rPr>
        <w:t xml:space="preserve">on creative practice). </w:t>
      </w:r>
    </w:p>
    <w:p w:rsidR="00A432A6" w:rsidRDefault="0067329C" w:rsidP="00E458FA">
      <w:pPr>
        <w:spacing w:after="288" w:line="240" w:lineRule="auto"/>
        <w:ind w:left="142"/>
        <w:rPr>
          <w:rFonts w:asciiTheme="majorHAnsi" w:eastAsia="Times New Roman" w:hAnsiTheme="majorHAnsi" w:cs="Times New Roman"/>
          <w:szCs w:val="24"/>
        </w:rPr>
      </w:pPr>
      <w:r>
        <w:rPr>
          <w:rFonts w:asciiTheme="majorHAnsi" w:eastAsia="Times New Roman" w:hAnsiTheme="majorHAnsi" w:cs="Times New Roman"/>
          <w:szCs w:val="24"/>
        </w:rPr>
        <w:t>If TEF is genuinely to measure teaching excellence,</w:t>
      </w:r>
      <w:r w:rsidR="00E3441C">
        <w:rPr>
          <w:rFonts w:asciiTheme="majorHAnsi" w:eastAsia="Times New Roman" w:hAnsiTheme="majorHAnsi" w:cs="Times New Roman"/>
          <w:szCs w:val="24"/>
        </w:rPr>
        <w:t xml:space="preserve"> it will need to be open to</w:t>
      </w:r>
      <w:r>
        <w:rPr>
          <w:rFonts w:asciiTheme="majorHAnsi" w:eastAsia="Times New Roman" w:hAnsiTheme="majorHAnsi" w:cs="Times New Roman"/>
          <w:szCs w:val="24"/>
        </w:rPr>
        <w:t xml:space="preserve"> discipline-specific methodologies. </w:t>
      </w:r>
      <w:r w:rsidR="00E3441C">
        <w:rPr>
          <w:rFonts w:asciiTheme="majorHAnsi" w:eastAsia="Times New Roman" w:hAnsiTheme="majorHAnsi" w:cs="Times New Roman"/>
          <w:szCs w:val="24"/>
        </w:rPr>
        <w:t xml:space="preserve">Such approaches might provide evidence of ‘excellent learning’, as summarised by Gunn and Fisk (2013) in </w:t>
      </w:r>
      <w:r w:rsidR="00E3441C">
        <w:rPr>
          <w:rFonts w:asciiTheme="majorHAnsi" w:eastAsia="Times New Roman" w:hAnsiTheme="majorHAnsi" w:cs="Times New Roman"/>
          <w:i/>
          <w:szCs w:val="24"/>
        </w:rPr>
        <w:t xml:space="preserve">Considering teaching excellence in higher education 2007-2013, </w:t>
      </w:r>
      <w:r w:rsidR="00E3441C">
        <w:rPr>
          <w:rFonts w:asciiTheme="majorHAnsi" w:eastAsia="Times New Roman" w:hAnsiTheme="majorHAnsi" w:cs="Times New Roman"/>
          <w:szCs w:val="24"/>
        </w:rPr>
        <w:t xml:space="preserve">York/HEA: qualitatively higher levels of understanding and meaning making, linked to both the discipline(s) studied and the environments in which they are studied. </w:t>
      </w:r>
      <w:r w:rsidR="00E3441C">
        <w:rPr>
          <w:rFonts w:asciiTheme="majorHAnsi" w:eastAsia="Times New Roman" w:hAnsiTheme="majorHAnsi" w:cs="Times New Roman"/>
          <w:szCs w:val="24"/>
        </w:rPr>
        <w:t>The required</w:t>
      </w:r>
      <w:r w:rsidR="00200B5A">
        <w:rPr>
          <w:rFonts w:asciiTheme="majorHAnsi" w:eastAsia="Times New Roman" w:hAnsiTheme="majorHAnsi" w:cs="Times New Roman"/>
          <w:szCs w:val="24"/>
        </w:rPr>
        <w:t xml:space="preserve"> level of thinking is unlikely to emerge from a ‘technical’ consultation.</w:t>
      </w:r>
    </w:p>
    <w:p w:rsidR="00E3441C" w:rsidRDefault="00E3441C" w:rsidP="00E458FA">
      <w:pPr>
        <w:keepNext/>
        <w:spacing w:after="120" w:line="240" w:lineRule="auto"/>
        <w:ind w:left="142"/>
        <w:outlineLvl w:val="2"/>
        <w:rPr>
          <w:rFonts w:eastAsia="Times New Roman" w:cs="Times New Roman"/>
          <w:b/>
          <w:bCs/>
          <w:color w:val="009BBB"/>
          <w:sz w:val="26"/>
          <w:szCs w:val="26"/>
        </w:rPr>
      </w:pPr>
      <w:bookmarkStart w:id="10" w:name="_Toc434412498"/>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r w:rsidRPr="00E458FA">
        <w:rPr>
          <w:rFonts w:eastAsia="Times New Roman" w:cs="Times New Roman"/>
          <w:b/>
          <w:bCs/>
          <w:color w:val="009BBB"/>
          <w:sz w:val="26"/>
          <w:szCs w:val="26"/>
        </w:rPr>
        <w:t>Social mobility and widening participation (Part A: Chapter 4)</w:t>
      </w:r>
      <w:bookmarkEnd w:id="10"/>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12:</w:t>
      </w: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proposals to further improve access and success for students from disadvantaged backgrounds and black and minority ethnic (BME) backgrounds?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768919719"/>
          <w14:checkbox>
            <w14:checked w14:val="1"/>
            <w14:checkedState w14:val="2612" w14:font="Yu Gothic UI"/>
            <w14:uncheckedState w14:val="2610" w14:font="Yu Gothic UI"/>
          </w14:checkbox>
        </w:sdtPr>
        <w:sdtContent>
          <w:r w:rsidR="00B734C6">
            <w:rPr>
              <w:rFonts w:ascii="Segoe UI Symbol" w:eastAsia="Yu Gothic UI" w:hAnsi="Segoe UI Symbol" w:cs="Segoe UI Symbol"/>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 xml:space="preserve">Yes  </w:t>
      </w:r>
      <w:r w:rsidRPr="00E458FA">
        <w:rPr>
          <w:rFonts w:eastAsia="Times New Roman" w:cs="Times New Roman"/>
          <w:szCs w:val="24"/>
        </w:rPr>
        <w:tab/>
      </w:r>
      <w:proofErr w:type="gramEnd"/>
      <w:r w:rsidRPr="00E458FA">
        <w:rPr>
          <w:rFonts w:eastAsia="Times New Roman" w:cs="Times New Roman"/>
          <w:szCs w:val="24"/>
        </w:rPr>
        <w:tab/>
      </w:r>
      <w:sdt>
        <w:sdtPr>
          <w:rPr>
            <w:rFonts w:ascii="MS Gothic" w:eastAsia="MS Gothic" w:hAnsi="MS Gothic" w:cs="Times New Roman"/>
            <w:szCs w:val="24"/>
          </w:rPr>
          <w:id w:val="-1601478035"/>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25505093"/>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D52DD5" w:rsidRDefault="00B734C6" w:rsidP="00E458FA">
      <w:pPr>
        <w:tabs>
          <w:tab w:val="left" w:pos="567"/>
        </w:tabs>
        <w:spacing w:after="288" w:line="240" w:lineRule="auto"/>
        <w:ind w:left="502" w:right="11"/>
        <w:rPr>
          <w:rFonts w:asciiTheme="majorHAnsi" w:eastAsia="Times New Roman" w:hAnsiTheme="majorHAnsi" w:cs="Arial"/>
          <w:szCs w:val="24"/>
        </w:rPr>
      </w:pPr>
      <w:r>
        <w:rPr>
          <w:rFonts w:asciiTheme="majorHAnsi" w:eastAsia="Times New Roman" w:hAnsiTheme="majorHAnsi" w:cs="Arial"/>
          <w:szCs w:val="24"/>
        </w:rPr>
        <w:t xml:space="preserve">The Green Paper contains few concrete proposals about how to improve access to HE for students currently marginalised by the system, although its statement of aims and principles are commendable and SCUDD fully endorses them. </w:t>
      </w:r>
    </w:p>
    <w:p w:rsidR="00834992" w:rsidRDefault="00834992" w:rsidP="00E458FA">
      <w:pPr>
        <w:tabs>
          <w:tab w:val="left" w:pos="567"/>
        </w:tabs>
        <w:spacing w:after="288" w:line="240" w:lineRule="auto"/>
        <w:ind w:left="502" w:right="11"/>
        <w:rPr>
          <w:rFonts w:asciiTheme="majorHAnsi" w:eastAsia="Times New Roman" w:hAnsiTheme="majorHAnsi" w:cs="Arial"/>
          <w:szCs w:val="24"/>
        </w:rPr>
      </w:pPr>
      <w:r>
        <w:rPr>
          <w:rFonts w:asciiTheme="majorHAnsi" w:eastAsia="Times New Roman" w:hAnsiTheme="majorHAnsi" w:cs="Arial"/>
          <w:szCs w:val="24"/>
        </w:rPr>
        <w:t xml:space="preserve">The Green Paper notes, correctly, that matters of ‘prior educational attainment’ (para 10) cannot </w:t>
      </w:r>
      <w:r w:rsidR="00145AD9">
        <w:rPr>
          <w:rFonts w:asciiTheme="majorHAnsi" w:eastAsia="Times New Roman" w:hAnsiTheme="majorHAnsi" w:cs="Arial"/>
          <w:szCs w:val="24"/>
        </w:rPr>
        <w:t xml:space="preserve">explain </w:t>
      </w:r>
      <w:r>
        <w:rPr>
          <w:rFonts w:asciiTheme="majorHAnsi" w:eastAsia="Times New Roman" w:hAnsiTheme="majorHAnsi" w:cs="Arial"/>
          <w:szCs w:val="24"/>
        </w:rPr>
        <w:t>disparities in achievement between some BAME groups and white students, although no alternative explanations are offered. There are indications, borne out by SCUDD’s own research with its members, that matters such as lack of BAME staff (and therefore role models) in HE and a perceived bias within the curriculum are important but under-recognised factors.</w:t>
      </w:r>
    </w:p>
    <w:p w:rsidR="00834992" w:rsidRDefault="00D55E83" w:rsidP="00E458FA">
      <w:pPr>
        <w:tabs>
          <w:tab w:val="left" w:pos="567"/>
        </w:tabs>
        <w:spacing w:after="288" w:line="240" w:lineRule="auto"/>
        <w:ind w:left="502" w:right="11"/>
        <w:rPr>
          <w:rFonts w:asciiTheme="majorHAnsi" w:eastAsia="Times New Roman" w:hAnsiTheme="majorHAnsi" w:cs="Arial"/>
          <w:szCs w:val="24"/>
        </w:rPr>
      </w:pPr>
      <w:r>
        <w:rPr>
          <w:rFonts w:asciiTheme="majorHAnsi" w:eastAsia="Times New Roman" w:hAnsiTheme="majorHAnsi" w:cs="Arial"/>
          <w:szCs w:val="24"/>
        </w:rPr>
        <w:t>It is, of course, sensible for HE policy</w:t>
      </w:r>
      <w:r w:rsidR="00BE367F">
        <w:rPr>
          <w:rFonts w:asciiTheme="majorHAnsi" w:eastAsia="Times New Roman" w:hAnsiTheme="majorHAnsi" w:cs="Arial"/>
          <w:szCs w:val="24"/>
        </w:rPr>
        <w:t xml:space="preserve"> to be aligned with that pertaining to pre-18 schooling. Many of the reforms being proposed and enacted for schools remain controversial and divisive, however, notably the </w:t>
      </w:r>
      <w:proofErr w:type="spellStart"/>
      <w:r w:rsidR="00BE367F">
        <w:rPr>
          <w:rFonts w:asciiTheme="majorHAnsi" w:eastAsia="Times New Roman" w:hAnsiTheme="majorHAnsi" w:cs="Arial"/>
          <w:szCs w:val="24"/>
        </w:rPr>
        <w:t>EBacc</w:t>
      </w:r>
      <w:proofErr w:type="spellEnd"/>
      <w:r w:rsidR="00BE367F">
        <w:rPr>
          <w:rFonts w:asciiTheme="majorHAnsi" w:eastAsia="Times New Roman" w:hAnsiTheme="majorHAnsi" w:cs="Arial"/>
          <w:szCs w:val="24"/>
        </w:rPr>
        <w:t xml:space="preserve"> and facilitating subjects. SCUDD objects strongly to both, especially the use made by Government of the notion of facilitating subjects, which was not offered by the Russell Group as a means of signalling ‘preferred’ subjects – which is how it has been interpreted – and which is untested in its assumptions. There is no evidence that facilitating subjects will either ‘guarantee’ a channel to Russell Group universities, as paragraph 23 seems to suggest, or widen access. The marginalisation of arts subjects in both the </w:t>
      </w:r>
      <w:proofErr w:type="spellStart"/>
      <w:r w:rsidR="00BE367F">
        <w:rPr>
          <w:rFonts w:asciiTheme="majorHAnsi" w:eastAsia="Times New Roman" w:hAnsiTheme="majorHAnsi" w:cs="Arial"/>
          <w:szCs w:val="24"/>
        </w:rPr>
        <w:t>EBacc</w:t>
      </w:r>
      <w:proofErr w:type="spellEnd"/>
      <w:r w:rsidR="00BE367F">
        <w:rPr>
          <w:rFonts w:asciiTheme="majorHAnsi" w:eastAsia="Times New Roman" w:hAnsiTheme="majorHAnsi" w:cs="Arial"/>
          <w:szCs w:val="24"/>
        </w:rPr>
        <w:t xml:space="preserve"> and the use made of facilitating subjects is short-sighted and counter-productive. </w:t>
      </w:r>
    </w:p>
    <w:p w:rsidR="00E458FA" w:rsidRPr="00E458FA" w:rsidRDefault="00E458FA" w:rsidP="00E458FA">
      <w:pPr>
        <w:tabs>
          <w:tab w:val="left" w:pos="567"/>
        </w:tabs>
        <w:spacing w:after="288" w:line="240" w:lineRule="auto"/>
        <w:ind w:left="502" w:right="11"/>
        <w:rPr>
          <w:rFonts w:eastAsia="Times New Roman" w:cs="Arial"/>
          <w:szCs w:val="24"/>
        </w:rPr>
      </w:pP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that the Office for Students should have the power to set targets where providers are failing to make progress?  </w:t>
      </w:r>
    </w:p>
    <w:p w:rsidR="00E458FA" w:rsidRPr="00E458FA" w:rsidRDefault="00E458FA" w:rsidP="006C7C6B">
      <w:pPr>
        <w:tabs>
          <w:tab w:val="left" w:pos="567"/>
        </w:tabs>
        <w:spacing w:after="288" w:line="240" w:lineRule="auto"/>
        <w:ind w:left="142" w:firstLine="360"/>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529369998"/>
          <w14:checkbox>
            <w14:checked w14:val="1"/>
            <w14:checkedState w14:val="2612" w14:font="Yu Gothic UI"/>
            <w14:uncheckedState w14:val="2610" w14:font="Yu Gothic UI"/>
          </w14:checkbox>
        </w:sdtPr>
        <w:sdtContent>
          <w:r w:rsidR="00BE367F">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32948440"/>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890416440"/>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Default="00BE367F"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It is logical, in a target-driven culture, to establish targets for widening participation and link these to success in TEF. Experience under the existing system, however, suggests that meaningful advances will be hard to win, and not only because HEIs are being recalcitrant (most are not). </w:t>
      </w:r>
    </w:p>
    <w:p w:rsidR="00BE367F" w:rsidRPr="00BE367F" w:rsidRDefault="00BE367F"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Targets are best set at the institutional level. This would allow universities to channel their efforts in any single assessment period, switching emphasis over time. It would also recognise that, for historical and cultural reasons, many disadvantaged and BAME groups tend to think first of courses in science, business and the law. This does </w:t>
      </w:r>
      <w:r w:rsidR="00145AD9">
        <w:rPr>
          <w:rFonts w:asciiTheme="majorHAnsi" w:eastAsia="Times New Roman" w:hAnsiTheme="majorHAnsi" w:cs="Arial"/>
          <w:szCs w:val="24"/>
        </w:rPr>
        <w:t xml:space="preserve">not </w:t>
      </w:r>
      <w:r>
        <w:rPr>
          <w:rFonts w:asciiTheme="majorHAnsi" w:eastAsia="Times New Roman" w:hAnsiTheme="majorHAnsi" w:cs="Arial"/>
          <w:szCs w:val="24"/>
        </w:rPr>
        <w:t>mean that other disciplines should be let off the hook, but rather that targets should not become a blunt instrument, inappropriately applied.</w:t>
      </w:r>
    </w:p>
    <w:p w:rsidR="00E458FA" w:rsidRPr="00E458FA" w:rsidRDefault="00E458FA" w:rsidP="00E458FA">
      <w:pPr>
        <w:tabs>
          <w:tab w:val="left" w:pos="567"/>
        </w:tabs>
        <w:spacing w:after="288" w:line="240" w:lineRule="auto"/>
        <w:ind w:left="502" w:right="11"/>
        <w:rPr>
          <w:rFonts w:eastAsia="Times New Roman" w:cs="Arial"/>
          <w:szCs w:val="24"/>
        </w:rPr>
      </w:pPr>
    </w:p>
    <w:p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What other groups or measures should the Government consider?</w:t>
      </w:r>
    </w:p>
    <w:p w:rsidR="00D55E83" w:rsidRPr="00200B5A" w:rsidRDefault="00D55E83" w:rsidP="00D55E83">
      <w:pPr>
        <w:pStyle w:val="ListParagraph"/>
        <w:tabs>
          <w:tab w:val="left" w:pos="567"/>
        </w:tabs>
        <w:spacing w:after="288" w:line="240" w:lineRule="auto"/>
        <w:ind w:left="502" w:right="11"/>
        <w:rPr>
          <w:rFonts w:asciiTheme="majorHAnsi" w:eastAsia="Times New Roman" w:hAnsiTheme="majorHAnsi" w:cs="Arial"/>
          <w:sz w:val="24"/>
          <w:szCs w:val="24"/>
        </w:rPr>
      </w:pPr>
      <w:r w:rsidRPr="00200B5A">
        <w:rPr>
          <w:rFonts w:asciiTheme="majorHAnsi" w:eastAsia="Times New Roman" w:hAnsiTheme="majorHAnsi" w:cs="Arial"/>
          <w:sz w:val="24"/>
          <w:szCs w:val="24"/>
        </w:rPr>
        <w:t>The emphasis in the Green Paper is on BAME and disadvantaged groups. Whilst people with specific physical disabilities would be included in any definition of ‘disadvantaged’, it would be helpful to acknowledge them as a separate category, in order that their particular needs and challenges are not lost from view.</w:t>
      </w:r>
    </w:p>
    <w:p w:rsidR="00E458FA" w:rsidRPr="00E458FA" w:rsidRDefault="00E458FA" w:rsidP="00E458FA">
      <w:pPr>
        <w:tabs>
          <w:tab w:val="left" w:pos="567"/>
          <w:tab w:val="left" w:pos="2776"/>
        </w:tabs>
        <w:spacing w:after="288" w:line="240" w:lineRule="auto"/>
        <w:ind w:left="142" w:right="11"/>
        <w:rPr>
          <w:rFonts w:eastAsia="Times New Roman" w:cs="Arial"/>
          <w:szCs w:val="24"/>
        </w:rPr>
      </w:pPr>
    </w:p>
    <w:p w:rsidR="00E458FA" w:rsidRPr="00E458FA" w:rsidRDefault="00E458FA" w:rsidP="00E458FA">
      <w:pPr>
        <w:tabs>
          <w:tab w:val="left" w:pos="567"/>
          <w:tab w:val="left" w:pos="2776"/>
        </w:tabs>
        <w:spacing w:after="288" w:line="240" w:lineRule="auto"/>
        <w:ind w:left="142" w:right="11"/>
        <w:rPr>
          <w:rFonts w:eastAsia="Times New Roman" w:cs="Arial"/>
          <w:szCs w:val="24"/>
        </w:rPr>
      </w:pPr>
      <w:r w:rsidRPr="00E458FA">
        <w:rPr>
          <w:rFonts w:eastAsia="Times New Roman" w:cs="Arial"/>
          <w:szCs w:val="24"/>
        </w:rPr>
        <w:t>Question 13:</w:t>
      </w:r>
      <w:r w:rsidRPr="00E458FA">
        <w:rPr>
          <w:rFonts w:eastAsia="Times New Roman" w:cs="Arial"/>
          <w:szCs w:val="24"/>
        </w:rPr>
        <w:tab/>
      </w:r>
    </w:p>
    <w:p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potential benefits for decision and policy making in relation to improving access might arise from additional data being available?</w:t>
      </w:r>
    </w:p>
    <w:p w:rsidR="00E458FA" w:rsidRPr="00BE367F" w:rsidRDefault="00BE367F"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Paragraphs 21 and 22 seem to suggest that what is being proposed is not the collection of new data but making existing data – </w:t>
      </w:r>
      <w:proofErr w:type="spellStart"/>
      <w:r>
        <w:rPr>
          <w:rFonts w:asciiTheme="majorHAnsi" w:eastAsia="Times New Roman" w:hAnsiTheme="majorHAnsi" w:cs="Arial"/>
          <w:szCs w:val="24"/>
        </w:rPr>
        <w:t>eg</w:t>
      </w:r>
      <w:proofErr w:type="spellEnd"/>
      <w:r>
        <w:rPr>
          <w:rFonts w:asciiTheme="majorHAnsi" w:eastAsia="Times New Roman" w:hAnsiTheme="majorHAnsi" w:cs="Arial"/>
          <w:szCs w:val="24"/>
        </w:rPr>
        <w:t xml:space="preserve"> from UCAS – more accessible. Where this data already exists, and there are, one assumes, no significant cost implications in granting wider access to it, then it is acceptable to open it up to academic administrators and policy makers, once appropriate sensitivity checks have been conducted.</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1"/>
        </w:numPr>
        <w:tabs>
          <w:tab w:val="left" w:pos="567"/>
        </w:tabs>
        <w:spacing w:after="288" w:line="240" w:lineRule="auto"/>
        <w:ind w:right="11"/>
        <w:rPr>
          <w:rFonts w:eastAsia="Times New Roman" w:cs="Arial"/>
          <w:szCs w:val="24"/>
        </w:rPr>
      </w:pPr>
      <w:r w:rsidRPr="00E458FA">
        <w:rPr>
          <w:rFonts w:eastAsia="Times New Roman" w:cs="Arial"/>
          <w:szCs w:val="24"/>
        </w:rPr>
        <w:t>What additional administrative burdens might this place on organisations? If additional costs are expected to be associated with this, please quantify them.</w:t>
      </w:r>
    </w:p>
    <w:p w:rsidR="00E458FA" w:rsidRPr="00BE367F" w:rsidRDefault="00BE367F" w:rsidP="00BE367F">
      <w:pPr>
        <w:rPr>
          <w:rFonts w:asciiTheme="majorHAnsi" w:hAnsiTheme="majorHAnsi"/>
        </w:rPr>
      </w:pPr>
      <w:r w:rsidRPr="00BE367F">
        <w:rPr>
          <w:rFonts w:asciiTheme="majorHAnsi" w:hAnsiTheme="majorHAnsi"/>
        </w:rPr>
        <w:t xml:space="preserve">This is a difficult </w:t>
      </w:r>
      <w:r>
        <w:rPr>
          <w:rFonts w:asciiTheme="majorHAnsi" w:hAnsiTheme="majorHAnsi"/>
        </w:rPr>
        <w:t>question to answer with this level of information, even for HEI administrators.</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1" w:name="_Toc434412499"/>
      <w:r w:rsidRPr="00E458FA">
        <w:rPr>
          <w:rFonts w:eastAsia="Times New Roman" w:cs="Times New Roman"/>
          <w:b/>
          <w:bCs/>
          <w:color w:val="009BBB"/>
          <w:sz w:val="26"/>
          <w:szCs w:val="26"/>
        </w:rPr>
        <w:t>Opening up the sector to new providers (Part B: Chapter 1)</w:t>
      </w:r>
      <w:bookmarkEnd w:id="11"/>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14: Do you agree with the proposed single route into the higher education sector?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r w:rsidRPr="00E458FA">
        <w:rPr>
          <w:rFonts w:eastAsia="Times New Roman" w:cs="Times New Roman"/>
          <w:szCs w:val="24"/>
        </w:rPr>
        <w:tab/>
      </w:r>
      <w:sdt>
        <w:sdtPr>
          <w:rPr>
            <w:rFonts w:eastAsia="Times New Roman" w:cs="Times New Roman"/>
            <w:szCs w:val="24"/>
          </w:rPr>
          <w:id w:val="98774613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80143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91913701"/>
          <w14:checkbox>
            <w14:checked w14:val="1"/>
            <w14:checkedState w14:val="2612" w14:font="Yu Gothic UI"/>
            <w14:uncheckedState w14:val="2610" w14:font="Yu Gothic UI"/>
          </w14:checkbox>
        </w:sdtPr>
        <w:sdtContent>
          <w:r w:rsidR="00BE367F">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bCs/>
          <w:iCs/>
          <w:szCs w:val="24"/>
        </w:rPr>
      </w:pPr>
      <w:r w:rsidRPr="00E458FA">
        <w:rPr>
          <w:rFonts w:eastAsia="Times New Roman" w:cs="Arial"/>
          <w:szCs w:val="24"/>
        </w:rPr>
        <w:t>Please give reasons for your answer, including information quantifying how the potential cost of entry would change as a result of these proposals.</w:t>
      </w:r>
    </w:p>
    <w:p w:rsidR="00E458FA" w:rsidRPr="00BE367F" w:rsidRDefault="00BE367F" w:rsidP="00E458FA">
      <w:pPr>
        <w:spacing w:after="288" w:line="240" w:lineRule="auto"/>
        <w:ind w:left="142"/>
        <w:rPr>
          <w:rFonts w:asciiTheme="majorHAnsi" w:eastAsia="Times New Roman" w:hAnsiTheme="majorHAnsi" w:cs="Times New Roman"/>
          <w:bCs/>
          <w:iCs/>
          <w:szCs w:val="24"/>
        </w:rPr>
      </w:pPr>
      <w:r w:rsidRPr="00BE367F">
        <w:rPr>
          <w:rFonts w:asciiTheme="majorHAnsi" w:eastAsia="Times New Roman" w:hAnsiTheme="majorHAnsi" w:cs="Times New Roman"/>
          <w:bCs/>
          <w:iCs/>
          <w:szCs w:val="24"/>
        </w:rPr>
        <w:t>SCUDD does</w:t>
      </w:r>
      <w:r>
        <w:rPr>
          <w:rFonts w:asciiTheme="majorHAnsi" w:eastAsia="Times New Roman" w:hAnsiTheme="majorHAnsi" w:cs="Times New Roman"/>
          <w:bCs/>
          <w:iCs/>
          <w:szCs w:val="24"/>
        </w:rPr>
        <w:t xml:space="preserve"> not have a settled view on if and how the sector might be opened up to alternative providers, except to observe: a) there is no real evidence that the entry of new players in the market will generate competition that will drive up standards, and b) that if new providers are to be permitted, then they should face the same hurdles and be held to the same standards as the existing HE sector. This would suggest that a single route should be adopted.</w:t>
      </w:r>
    </w:p>
    <w:p w:rsidR="00E458FA" w:rsidRPr="00E458FA" w:rsidRDefault="00E458FA" w:rsidP="00E458FA">
      <w:pPr>
        <w:spacing w:after="288" w:line="240" w:lineRule="auto"/>
        <w:ind w:left="142"/>
        <w:rPr>
          <w:rFonts w:eastAsia="Times New Roman" w:cs="Times New Roman"/>
          <w:bCs/>
          <w:iCs/>
          <w:szCs w:val="24"/>
        </w:rPr>
      </w:pPr>
    </w:p>
    <w:p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15:</w:t>
      </w: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risk-based approach to eligibility for degree awarding powers (DAPs) and university title?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702721"/>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8027560"/>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41418866"/>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options identified for validation of courses delivered b</w:t>
      </w:r>
      <w:r w:rsidR="00000F71">
        <w:rPr>
          <w:rFonts w:eastAsia="Times New Roman" w:cs="Arial"/>
          <w:szCs w:val="24"/>
        </w:rPr>
        <w:t>y providers who do not hold DAPs</w:t>
      </w:r>
      <w:r w:rsidRPr="00E458FA">
        <w:rPr>
          <w:rFonts w:eastAsia="Times New Roman" w:cs="Arial"/>
          <w:szCs w:val="24"/>
        </w:rPr>
        <w:t xml:space="preserve">? </w:t>
      </w: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p>
    <w:p w:rsidR="00E458FA" w:rsidRPr="00E458FA" w:rsidRDefault="00E458FA" w:rsidP="00E458FA">
      <w:pPr>
        <w:tabs>
          <w:tab w:val="left" w:pos="567"/>
        </w:tabs>
        <w:spacing w:after="288" w:line="240" w:lineRule="auto"/>
        <w:ind w:right="11"/>
        <w:rPr>
          <w:rFonts w:eastAsia="Times New Roman" w:cs="Arial"/>
          <w:szCs w:val="24"/>
        </w:rPr>
      </w:pPr>
      <w:r w:rsidRPr="00E458FA">
        <w:rPr>
          <w:rFonts w:eastAsia="Times New Roman" w:cs="Arial"/>
          <w:szCs w:val="24"/>
        </w:rPr>
        <w:t xml:space="preserve">Question 16: Do you agree with the proposed immediate actions intended to speed up entry?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037546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8078010"/>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02231205"/>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numPr>
          <w:ilvl w:val="1"/>
          <w:numId w:val="0"/>
        </w:numPr>
        <w:spacing w:after="288" w:line="240" w:lineRule="auto"/>
        <w:ind w:left="142"/>
        <w:rPr>
          <w:rFonts w:eastAsiaTheme="majorEastAsia" w:cstheme="majorBidi"/>
          <w:b/>
          <w:iCs/>
          <w:color w:val="4F81BD" w:themeColor="accent1"/>
          <w:spacing w:val="15"/>
          <w:sz w:val="26"/>
          <w:szCs w:val="24"/>
          <w:u w:val="single"/>
        </w:rPr>
      </w:pPr>
    </w:p>
    <w:p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12" w:name="_Toc434412500"/>
      <w:r w:rsidRPr="00E458FA">
        <w:rPr>
          <w:rFonts w:eastAsia="Times New Roman" w:cs="Times New Roman"/>
          <w:b/>
          <w:bCs/>
          <w:color w:val="009BBB"/>
          <w:sz w:val="26"/>
          <w:szCs w:val="26"/>
        </w:rPr>
        <w:t>Provider exit and student protection (Part B: Chapter 2)</w:t>
      </w:r>
      <w:bookmarkEnd w:id="12"/>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17: Do you agree with the proposal to introduce a requirement for all providers to have contingency arrangements to support students in the event that their course cannot be completed?</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69128739"/>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6199537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3544119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Times New Roman"/>
          <w:szCs w:val="24"/>
        </w:rPr>
      </w:pPr>
      <w:r w:rsidRPr="00E458FA">
        <w:rPr>
          <w:rFonts w:eastAsia="Times New Roman" w:cs="Arial"/>
          <w:szCs w:val="24"/>
        </w:rPr>
        <w:t xml:space="preserve">Please give reasons for your answer, including evidence on the costs and benefits associated with having a contingency plan in place? Please quantify these costs where possible.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br/>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3" w:name="_Toc434412501"/>
      <w:r w:rsidRPr="00E458FA">
        <w:rPr>
          <w:rFonts w:eastAsia="Times New Roman" w:cs="Times New Roman"/>
          <w:b/>
          <w:bCs/>
          <w:color w:val="009BBB"/>
          <w:sz w:val="26"/>
          <w:szCs w:val="26"/>
        </w:rPr>
        <w:t>Simplifying the higher education architecture (Part C)</w:t>
      </w:r>
      <w:bookmarkEnd w:id="13"/>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18:</w:t>
      </w: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changes to the higher education architecture? </w:t>
      </w:r>
    </w:p>
    <w:p w:rsidR="00E458FA" w:rsidRPr="00E458FA" w:rsidRDefault="00515757" w:rsidP="00E458FA">
      <w:pPr>
        <w:tabs>
          <w:tab w:val="left" w:pos="567"/>
        </w:tabs>
        <w:spacing w:after="288" w:line="240" w:lineRule="auto"/>
        <w:ind w:left="142"/>
        <w:rPr>
          <w:rFonts w:eastAsia="Times New Roman" w:cs="Times New Roman"/>
          <w:szCs w:val="24"/>
        </w:rPr>
      </w:pPr>
      <w:sdt>
        <w:sdtPr>
          <w:rPr>
            <w:rFonts w:ascii="MS Gothic" w:eastAsia="MS Gothic" w:hAnsi="MS Gothic" w:cs="Times New Roman"/>
            <w:szCs w:val="24"/>
          </w:rPr>
          <w:id w:val="-1084302760"/>
          <w14:checkbox>
            <w14:checked w14:val="1"/>
            <w14:checkedState w14:val="2612" w14:font="Yu Gothic UI"/>
            <w14:uncheckedState w14:val="2610" w14:font="Yu Gothic UI"/>
          </w14:checkbox>
        </w:sdtPr>
        <w:sdtContent>
          <w:r w:rsidR="00E623E5">
            <w:rPr>
              <w:rFonts w:ascii="Segoe UI Symbol" w:eastAsia="Yu Gothic UI" w:hAnsi="Segoe UI Symbol" w:cs="Segoe UI Symbol"/>
              <w:szCs w:val="24"/>
            </w:rPr>
            <w:t>☒</w:t>
          </w:r>
        </w:sdtContent>
      </w:sdt>
      <w:r w:rsidR="00E458FA" w:rsidRPr="00E458FA">
        <w:rPr>
          <w:rFonts w:eastAsia="Times New Roman" w:cs="Times New Roman"/>
          <w:szCs w:val="24"/>
        </w:rPr>
        <w:t xml:space="preserve"> Yes</w:t>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905529047"/>
          <w14:checkbox>
            <w14:checked w14:val="0"/>
            <w14:checkedState w14:val="2612" w14:font="Yu Gothic UI"/>
            <w14:uncheckedState w14:val="2610" w14:font="Yu Gothic UI"/>
          </w14:checkbox>
        </w:sdt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No</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1203939290"/>
          <w14:checkbox>
            <w14:checked w14:val="0"/>
            <w14:checkedState w14:val="2612" w14:font="Yu Gothic UI"/>
            <w14:uncheckedState w14:val="2610" w14:font="Yu Gothic UI"/>
          </w14:checkbox>
        </w:sdt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rsidR="00E458FA" w:rsidRPr="00100BF3" w:rsidRDefault="00100BF3"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 reasons for simplifying the means by which HE is regulated are concisely stated in the Green Paper, and there is a strong body of opinion in the sector – as the UUK report makes clear – that is arguing for such simplification. There will be some savings t</w:t>
      </w:r>
      <w:r w:rsidR="00377763">
        <w:rPr>
          <w:rFonts w:asciiTheme="majorHAnsi" w:eastAsia="Times New Roman" w:hAnsiTheme="majorHAnsi" w:cs="Arial"/>
          <w:szCs w:val="24"/>
        </w:rPr>
        <w:t xml:space="preserve">o be made from doing this, and </w:t>
      </w:r>
      <w:r>
        <w:rPr>
          <w:rFonts w:asciiTheme="majorHAnsi" w:eastAsia="Times New Roman" w:hAnsiTheme="majorHAnsi" w:cs="Arial"/>
          <w:szCs w:val="24"/>
        </w:rPr>
        <w:t xml:space="preserve">a single body, the </w:t>
      </w:r>
      <w:proofErr w:type="spellStart"/>
      <w:r>
        <w:rPr>
          <w:rFonts w:asciiTheme="majorHAnsi" w:eastAsia="Times New Roman" w:hAnsiTheme="majorHAnsi" w:cs="Arial"/>
          <w:szCs w:val="24"/>
        </w:rPr>
        <w:t>OfS</w:t>
      </w:r>
      <w:proofErr w:type="spellEnd"/>
      <w:r>
        <w:rPr>
          <w:rFonts w:asciiTheme="majorHAnsi" w:eastAsia="Times New Roman" w:hAnsiTheme="majorHAnsi" w:cs="Arial"/>
          <w:szCs w:val="24"/>
        </w:rPr>
        <w:t xml:space="preserve">, will have a political clout that HEFCE does not at present.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To what extent should the Office for Students (</w:t>
      </w:r>
      <w:proofErr w:type="spellStart"/>
      <w:r w:rsidRPr="00E458FA">
        <w:rPr>
          <w:rFonts w:eastAsia="Times New Roman" w:cs="Arial"/>
          <w:szCs w:val="24"/>
        </w:rPr>
        <w:t>OfS</w:t>
      </w:r>
      <w:proofErr w:type="spellEnd"/>
      <w:r w:rsidRPr="00E458FA">
        <w:rPr>
          <w:rFonts w:eastAsia="Times New Roman" w:cs="Arial"/>
          <w:szCs w:val="24"/>
        </w:rPr>
        <w:t xml:space="preserve">) have the power to contract out its functions to separate bodies?  </w:t>
      </w:r>
    </w:p>
    <w:p w:rsidR="00E458FA" w:rsidRPr="00E458FA" w:rsidRDefault="00E458FA" w:rsidP="00E458FA">
      <w:pPr>
        <w:tabs>
          <w:tab w:val="left" w:pos="567"/>
        </w:tabs>
        <w:spacing w:after="288" w:line="240" w:lineRule="auto"/>
        <w:rPr>
          <w:rFonts w:eastAsia="Times New Roman" w:cs="Times New Roman"/>
          <w:szCs w:val="24"/>
        </w:rPr>
      </w:pPr>
      <w:r w:rsidRPr="00E458FA">
        <w:rPr>
          <w:rFonts w:eastAsia="Times New Roman" w:cs="Times New Roman"/>
          <w:szCs w:val="24"/>
        </w:rPr>
        <w:tab/>
      </w:r>
      <w:sdt>
        <w:sdtPr>
          <w:rPr>
            <w:rFonts w:ascii="MS Gothic" w:eastAsia="MS Gothic" w:hAnsi="MS Gothic" w:cs="Times New Roman"/>
            <w:szCs w:val="24"/>
          </w:rPr>
          <w:id w:val="1920902391"/>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Fully</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547384"/>
          <w14:checkbox>
            <w14:checked w14:val="1"/>
            <w14:checkedState w14:val="2612" w14:font="Yu Gothic UI"/>
            <w14:uncheckedState w14:val="2610" w14:font="Yu Gothic UI"/>
          </w14:checkbox>
        </w:sdtPr>
        <w:sdtContent>
          <w:r w:rsidR="00100BF3">
            <w:rPr>
              <w:rFonts w:ascii="Segoe UI Symbol" w:eastAsia="Yu Gothic UI" w:hAnsi="Segoe UI Symbol" w:cs="Segoe UI Symbol"/>
              <w:szCs w:val="24"/>
            </w:rPr>
            <w:t>☒</w:t>
          </w:r>
        </w:sdtContent>
      </w:sdt>
      <w:r w:rsidRPr="00E458FA">
        <w:rPr>
          <w:rFonts w:eastAsia="Times New Roman" w:cs="Times New Roman"/>
          <w:szCs w:val="24"/>
        </w:rPr>
        <w:t xml:space="preserve"> Partially</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01595152"/>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at all</w:t>
      </w: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 xml:space="preserve">If you agree, which functions should the </w:t>
      </w:r>
      <w:proofErr w:type="spellStart"/>
      <w:r w:rsidRPr="00E458FA">
        <w:rPr>
          <w:rFonts w:eastAsia="Times New Roman" w:cs="Arial"/>
          <w:szCs w:val="24"/>
        </w:rPr>
        <w:t>OfS</w:t>
      </w:r>
      <w:proofErr w:type="spellEnd"/>
      <w:r w:rsidRPr="00E458FA">
        <w:rPr>
          <w:rFonts w:eastAsia="Times New Roman" w:cs="Arial"/>
          <w:szCs w:val="24"/>
        </w:rPr>
        <w:t xml:space="preserve"> be able to contract out?</w:t>
      </w:r>
    </w:p>
    <w:p w:rsidR="00100BF3" w:rsidRDefault="00100BF3" w:rsidP="00E458FA">
      <w:pPr>
        <w:spacing w:after="0" w:line="240" w:lineRule="auto"/>
        <w:ind w:left="502"/>
        <w:contextualSpacing/>
        <w:rPr>
          <w:rFonts w:asciiTheme="majorHAnsi" w:eastAsia="Times New Roman" w:hAnsiTheme="majorHAnsi" w:cs="Times New Roman"/>
          <w:szCs w:val="24"/>
          <w:lang w:eastAsia="en-GB"/>
        </w:rPr>
      </w:pPr>
      <w:r>
        <w:rPr>
          <w:rFonts w:asciiTheme="majorHAnsi" w:eastAsia="Times New Roman" w:hAnsiTheme="majorHAnsi" w:cs="Times New Roman"/>
          <w:szCs w:val="24"/>
          <w:lang w:eastAsia="en-GB"/>
        </w:rPr>
        <w:t xml:space="preserve">There are two main reasons why the </w:t>
      </w:r>
      <w:proofErr w:type="spellStart"/>
      <w:r>
        <w:rPr>
          <w:rFonts w:asciiTheme="majorHAnsi" w:eastAsia="Times New Roman" w:hAnsiTheme="majorHAnsi" w:cs="Times New Roman"/>
          <w:szCs w:val="24"/>
          <w:lang w:eastAsia="en-GB"/>
        </w:rPr>
        <w:t>OfS</w:t>
      </w:r>
      <w:proofErr w:type="spellEnd"/>
      <w:r>
        <w:rPr>
          <w:rFonts w:asciiTheme="majorHAnsi" w:eastAsia="Times New Roman" w:hAnsiTheme="majorHAnsi" w:cs="Times New Roman"/>
          <w:szCs w:val="24"/>
          <w:lang w:eastAsia="en-GB"/>
        </w:rPr>
        <w:t xml:space="preserve"> should be able to contract out some of its functions. The first is that a degree of arm’s length from government should be maintained, even when government policy is being enacted. The second is that there is a body of expertise and good practice and a network of relationships in some of the existing bodies that should not be jettisoned lightly. Also, as the Green Paper argues (para 13), some bodies have wider roles. </w:t>
      </w:r>
    </w:p>
    <w:p w:rsidR="00100BF3" w:rsidRDefault="00100BF3" w:rsidP="00E458FA">
      <w:pPr>
        <w:spacing w:after="0" w:line="240" w:lineRule="auto"/>
        <w:ind w:left="502"/>
        <w:contextualSpacing/>
        <w:rPr>
          <w:rFonts w:asciiTheme="majorHAnsi" w:eastAsia="Times New Roman" w:hAnsiTheme="majorHAnsi" w:cs="Times New Roman"/>
          <w:szCs w:val="24"/>
          <w:lang w:eastAsia="en-GB"/>
        </w:rPr>
      </w:pPr>
    </w:p>
    <w:p w:rsidR="00E458FA" w:rsidRPr="00100BF3" w:rsidRDefault="00E97B79" w:rsidP="00E458FA">
      <w:pPr>
        <w:spacing w:after="0" w:line="240" w:lineRule="auto"/>
        <w:ind w:left="502"/>
        <w:contextualSpacing/>
        <w:rPr>
          <w:rFonts w:asciiTheme="majorHAnsi" w:eastAsia="Times New Roman" w:hAnsiTheme="majorHAnsi" w:cs="Times New Roman"/>
          <w:szCs w:val="24"/>
          <w:lang w:eastAsia="en-GB"/>
        </w:rPr>
      </w:pPr>
      <w:r>
        <w:rPr>
          <w:rFonts w:asciiTheme="majorHAnsi" w:eastAsia="Times New Roman" w:hAnsiTheme="majorHAnsi" w:cs="Times New Roman"/>
          <w:szCs w:val="24"/>
          <w:lang w:eastAsia="en-GB"/>
        </w:rPr>
        <w:t>With this is mind, we would argue that t</w:t>
      </w:r>
      <w:r w:rsidR="00100BF3">
        <w:rPr>
          <w:rFonts w:asciiTheme="majorHAnsi" w:eastAsia="Times New Roman" w:hAnsiTheme="majorHAnsi" w:cs="Times New Roman"/>
          <w:szCs w:val="24"/>
          <w:lang w:eastAsia="en-GB"/>
        </w:rPr>
        <w:t>he QAA, along with the HEA and HESA, should be maintained in something like their existing form and with their current responsibilities.</w:t>
      </w:r>
    </w:p>
    <w:p w:rsidR="00E458FA" w:rsidRPr="00E458FA" w:rsidRDefault="00E458FA" w:rsidP="00E458FA">
      <w:pPr>
        <w:spacing w:after="0" w:line="240" w:lineRule="auto"/>
        <w:ind w:left="502"/>
        <w:contextualSpacing/>
        <w:rPr>
          <w:rFonts w:ascii="Times New Roman" w:eastAsia="Times New Roman" w:hAnsi="Times New Roman" w:cs="Times New Roman"/>
          <w:szCs w:val="24"/>
          <w:lang w:eastAsia="en-GB"/>
        </w:rPr>
      </w:pPr>
    </w:p>
    <w:p w:rsidR="00E458FA" w:rsidRPr="00E458FA" w:rsidRDefault="00E458FA" w:rsidP="00E458FA">
      <w:pPr>
        <w:tabs>
          <w:tab w:val="left" w:pos="567"/>
        </w:tabs>
        <w:spacing w:after="288" w:line="240" w:lineRule="auto"/>
        <w:ind w:left="502" w:right="11"/>
        <w:rPr>
          <w:rFonts w:eastAsia="Times New Roman" w:cs="Arial"/>
          <w:b/>
          <w:i/>
          <w:color w:val="4F81BD" w:themeColor="accent1"/>
          <w:szCs w:val="24"/>
        </w:rPr>
      </w:pPr>
    </w:p>
    <w:p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What are your views on the proposed options for allocating Teaching Grant?</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Option 1: BIS Ministers set strategic priorities and BIS officials determine formula.</w:t>
      </w:r>
    </w:p>
    <w:p w:rsidR="00E458FA" w:rsidRPr="00E458FA" w:rsidRDefault="00515757" w:rsidP="00E458FA">
      <w:pPr>
        <w:spacing w:after="288" w:line="240" w:lineRule="auto"/>
        <w:ind w:firstLine="720"/>
        <w:rPr>
          <w:rFonts w:eastAsia="Times New Roman" w:cs="Times New Roman"/>
          <w:szCs w:val="24"/>
        </w:rPr>
      </w:pPr>
      <w:sdt>
        <w:sdtPr>
          <w:rPr>
            <w:rFonts w:eastAsia="Times New Roman" w:cs="Times New Roman"/>
            <w:szCs w:val="24"/>
          </w:rPr>
          <w:id w:val="1815599012"/>
          <w14:checkbox>
            <w14:checked w14:val="0"/>
            <w14:checkedState w14:val="2612" w14:font="Yu Gothic UI"/>
            <w14:uncheckedState w14:val="2610" w14:font="Yu Gothic UI"/>
          </w14:checkbox>
        </w:sdtPr>
        <w:sdtContent>
          <w:r w:rsidR="006C7C6B">
            <w:rPr>
              <w:rFonts w:ascii="MS Gothic" w:eastAsia="MS Gothic" w:hAnsi="MS Gothic" w:cs="Times New Roman" w:hint="eastAsia"/>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659104861"/>
          <w14:checkbox>
            <w14:checked w14:val="1"/>
            <w14:checkedState w14:val="2612" w14:font="Yu Gothic UI"/>
            <w14:uncheckedState w14:val="2610" w14:font="Yu Gothic UI"/>
          </w14:checkbox>
        </w:sdtPr>
        <w:sdtContent>
          <w:r w:rsidR="00E97B79">
            <w:rPr>
              <w:rFonts w:ascii="Segoe UI Symbol" w:eastAsia="Yu Gothic UI" w:hAnsi="Segoe UI Symbol" w:cs="Segoe UI Symbol"/>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535004148"/>
          <w14:checkbox>
            <w14:checked w14:val="0"/>
            <w14:checkedState w14:val="2612" w14:font="Yu Gothic UI"/>
            <w14:uncheckedState w14:val="2610" w14:font="Yu Gothic UI"/>
          </w14:checkbox>
        </w:sdt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Option 2: BIS Minister sets strategic priorities and allocation responsibilities divested to </w:t>
      </w:r>
      <w:proofErr w:type="spellStart"/>
      <w:r w:rsidRPr="00E458FA">
        <w:rPr>
          <w:rFonts w:eastAsia="Times New Roman" w:cs="Arial"/>
          <w:szCs w:val="24"/>
        </w:rPr>
        <w:t>OfS</w:t>
      </w:r>
      <w:proofErr w:type="spellEnd"/>
    </w:p>
    <w:p w:rsidR="00E458FA" w:rsidRPr="00E458FA" w:rsidRDefault="00515757" w:rsidP="00E458FA">
      <w:pPr>
        <w:spacing w:after="288" w:line="240" w:lineRule="auto"/>
        <w:ind w:firstLine="720"/>
        <w:rPr>
          <w:rFonts w:eastAsia="Times New Roman" w:cs="Times New Roman"/>
          <w:szCs w:val="24"/>
        </w:rPr>
      </w:pPr>
      <w:sdt>
        <w:sdtPr>
          <w:rPr>
            <w:rFonts w:eastAsia="Times New Roman" w:cs="Times New Roman"/>
            <w:szCs w:val="24"/>
          </w:rPr>
          <w:id w:val="-1252809423"/>
          <w14:checkbox>
            <w14:checked w14:val="1"/>
            <w14:checkedState w14:val="2612" w14:font="Yu Gothic UI"/>
            <w14:uncheckedState w14:val="2610" w14:font="Yu Gothic UI"/>
          </w14:checkbox>
        </w:sdtPr>
        <w:sdtContent>
          <w:r w:rsidR="00E97B79">
            <w:rPr>
              <w:rFonts w:ascii="Segoe UI Symbol" w:eastAsia="Yu Gothic UI" w:hAnsi="Segoe UI Symbol" w:cs="Segoe UI Symbol"/>
              <w:szCs w:val="24"/>
            </w:rPr>
            <w:t>☒</w:t>
          </w:r>
        </w:sdtContent>
      </w:sdt>
      <w:r w:rsidR="00E458FA" w:rsidRPr="00E458FA">
        <w:rPr>
          <w:rFonts w:eastAsia="Times New Roman" w:cs="Times New Roman"/>
          <w:szCs w:val="24"/>
        </w:rPr>
        <w:t xml:space="preserve"> Agree</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195371255"/>
          <w14:checkbox>
            <w14:checked w14:val="0"/>
            <w14:checkedState w14:val="2612" w14:font="Yu Gothic UI"/>
            <w14:uncheckedState w14:val="2610" w14:font="Yu Gothic UI"/>
          </w14:checkbox>
        </w:sdt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Disagree</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525562819"/>
          <w14:checkbox>
            <w14:checked w14:val="0"/>
            <w14:checkedState w14:val="2612" w14:font="Yu Gothic UI"/>
            <w14:uncheckedState w14:val="2610" w14:font="Yu Gothic UI"/>
          </w14:checkbox>
        </w:sdt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97B79" w:rsidRDefault="00E97B79"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Whilst it is appropriate for government ministers to set strategic priorities, it is essential, in the interests of transparency and to support the independence of universities from government, that the process of allocation is not conducted by BIS.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19: Do you agree with the proposal for a single, transparent and light touch regulatory framework for every higher education provider?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52740566"/>
          <w14:checkbox>
            <w14:checked w14:val="1"/>
            <w14:checkedState w14:val="2612" w14:font="Yu Gothic UI"/>
            <w14:uncheckedState w14:val="2610" w14:font="Yu Gothic UI"/>
          </w14:checkbox>
        </w:sdtPr>
        <w:sdtContent>
          <w:r w:rsidR="00E97B79">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1630910"/>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84293363"/>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proposed framework would change the burden on providers.  Please quantify the benefits and/or costs where possible.</w:t>
      </w:r>
    </w:p>
    <w:p w:rsidR="00E458FA" w:rsidRDefault="00E458FA" w:rsidP="00E458FA">
      <w:pPr>
        <w:tabs>
          <w:tab w:val="left" w:pos="567"/>
        </w:tabs>
        <w:spacing w:after="288" w:line="240" w:lineRule="auto"/>
        <w:ind w:left="142" w:right="11"/>
        <w:rPr>
          <w:rFonts w:asciiTheme="majorHAnsi" w:eastAsia="Times New Roman" w:hAnsiTheme="majorHAnsi" w:cs="Arial"/>
          <w:szCs w:val="24"/>
        </w:rPr>
      </w:pPr>
    </w:p>
    <w:p w:rsidR="00E97B79" w:rsidRPr="00E458FA" w:rsidRDefault="00E97B79"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20: What steps could be taken to increase the transparency of student unions and strengthen unions’ accountability to their student members?</w:t>
      </w:r>
    </w:p>
    <w:p w:rsidR="00E458FA" w:rsidRDefault="00E97B79"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This is a question best settled by the Unions themselves, and SCUDD support their independence. We do not think that a case has been made there is a problem with the existing arrangements.</w:t>
      </w:r>
    </w:p>
    <w:p w:rsidR="00E97B79" w:rsidRPr="00E97B79" w:rsidRDefault="00E97B79"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It is not part of this consultation, but it is mentioned in para 24: SCUDD – like the majority of the sector - is wholly opposed to the current proposals for trade union reform.</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21:</w:t>
      </w: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duties and powers of the Office for Students?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60189894"/>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78334009"/>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80131308"/>
          <w14:checkbox>
            <w14:checked w14:val="1"/>
            <w14:checkedState w14:val="2612" w14:font="Yu Gothic UI"/>
            <w14:uncheckedState w14:val="2610" w14:font="Yu Gothic UI"/>
          </w14:checkbox>
        </w:sdtPr>
        <w:sdtContent>
          <w:r w:rsidR="00E97B79">
            <w:rPr>
              <w:rFonts w:ascii="Segoe UI Symbol" w:eastAsia="Yu Gothic UI" w:hAnsi="Segoe UI Symbol" w:cs="Segoe UI Symbol"/>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w:t>
      </w:r>
      <w:r w:rsidR="00257A64">
        <w:rPr>
          <w:rFonts w:eastAsia="Times New Roman" w:cs="Arial"/>
          <w:szCs w:val="24"/>
        </w:rPr>
        <w:t>se give reasons for your answer</w:t>
      </w:r>
    </w:p>
    <w:p w:rsidR="00E458FA" w:rsidRDefault="00E97B79"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In one sense, the Green Paper simply outlines the necessary regulatory functions that the </w:t>
      </w:r>
      <w:proofErr w:type="spellStart"/>
      <w:r>
        <w:rPr>
          <w:rFonts w:asciiTheme="majorHAnsi" w:eastAsia="Times New Roman" w:hAnsiTheme="majorHAnsi" w:cs="Arial"/>
          <w:szCs w:val="24"/>
        </w:rPr>
        <w:t>OfS</w:t>
      </w:r>
      <w:proofErr w:type="spellEnd"/>
      <w:r>
        <w:rPr>
          <w:rFonts w:asciiTheme="majorHAnsi" w:eastAsia="Times New Roman" w:hAnsiTheme="majorHAnsi" w:cs="Arial"/>
          <w:szCs w:val="24"/>
        </w:rPr>
        <w:t xml:space="preserve"> should adopt, and these are not controversial. </w:t>
      </w:r>
    </w:p>
    <w:p w:rsidR="00257A64" w:rsidRDefault="00257A64"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However, SCUDD echoes the concerns of other commentators that there is a danger in combining the functions of funding and financial regulation and responsibility for maintaining quality. There is a clear danger of a conflict of interest, and it will be difficult to guarantee transparency and credibility. If the </w:t>
      </w:r>
      <w:proofErr w:type="spellStart"/>
      <w:r>
        <w:rPr>
          <w:rFonts w:asciiTheme="majorHAnsi" w:eastAsia="Times New Roman" w:hAnsiTheme="majorHAnsi" w:cs="Arial"/>
          <w:szCs w:val="24"/>
        </w:rPr>
        <w:t>OfS</w:t>
      </w:r>
      <w:proofErr w:type="spellEnd"/>
      <w:r>
        <w:rPr>
          <w:rFonts w:asciiTheme="majorHAnsi" w:eastAsia="Times New Roman" w:hAnsiTheme="majorHAnsi" w:cs="Arial"/>
          <w:szCs w:val="24"/>
        </w:rPr>
        <w:t xml:space="preserve"> is coordinating TEF, can a TEF report be truly independent? This is further support for the option of contracting some powers out to other bodies.</w:t>
      </w:r>
    </w:p>
    <w:p w:rsidR="00E97B79" w:rsidRPr="00E97B79" w:rsidRDefault="00E97B79" w:rsidP="00257A64">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The list of proposed duties and powers leads with the requirement to view HE from the point of view of the student and not the provider.</w:t>
      </w:r>
      <w:r w:rsidR="00257A64">
        <w:rPr>
          <w:rFonts w:asciiTheme="majorHAnsi" w:eastAsia="Times New Roman" w:hAnsiTheme="majorHAnsi" w:cs="Arial"/>
          <w:szCs w:val="24"/>
        </w:rPr>
        <w:t xml:space="preserve"> </w:t>
      </w:r>
      <w:r>
        <w:rPr>
          <w:rFonts w:asciiTheme="majorHAnsi" w:eastAsia="Times New Roman" w:hAnsiTheme="majorHAnsi" w:cs="Arial"/>
          <w:szCs w:val="24"/>
        </w:rPr>
        <w:t>SCUDD is not opposed to a student-centred HE system, but It is difficult to see, from the Green Paper as a whole, what this actually means. We look forward to the government</w:t>
      </w:r>
      <w:r w:rsidR="006D3C83">
        <w:rPr>
          <w:rFonts w:asciiTheme="majorHAnsi" w:eastAsia="Times New Roman" w:hAnsiTheme="majorHAnsi" w:cs="Arial"/>
          <w:szCs w:val="24"/>
        </w:rPr>
        <w:t xml:space="preserve"> proposing new and creative ways</w:t>
      </w:r>
      <w:r>
        <w:rPr>
          <w:rFonts w:asciiTheme="majorHAnsi" w:eastAsia="Times New Roman" w:hAnsiTheme="majorHAnsi" w:cs="Arial"/>
          <w:szCs w:val="24"/>
        </w:rPr>
        <w:t xml:space="preserve"> of involving students in the decision maki</w:t>
      </w:r>
      <w:r w:rsidR="006D3C83">
        <w:rPr>
          <w:rFonts w:asciiTheme="majorHAnsi" w:eastAsia="Times New Roman" w:hAnsiTheme="majorHAnsi" w:cs="Arial"/>
          <w:szCs w:val="24"/>
        </w:rPr>
        <w:t>ng process, and approaches</w:t>
      </w:r>
      <w:r>
        <w:rPr>
          <w:rFonts w:asciiTheme="majorHAnsi" w:eastAsia="Times New Roman" w:hAnsiTheme="majorHAnsi" w:cs="Arial"/>
          <w:szCs w:val="24"/>
        </w:rPr>
        <w:t xml:space="preserve"> that treat them as more than simply consumers.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subscription funding model?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217433"/>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50646112"/>
          <w14:checkbox>
            <w14:checked w14:val="1"/>
            <w14:checkedState w14:val="2612" w14:font="Yu Gothic UI"/>
            <w14:uncheckedState w14:val="2610" w14:font="Yu Gothic UI"/>
          </w14:checkbox>
        </w:sdtPr>
        <w:sdtContent>
          <w:r w:rsidR="00E97B79">
            <w:rPr>
              <w:rFonts w:ascii="Segoe UI Symbol" w:eastAsia="Yu Gothic UI" w:hAnsi="Segoe UI Symbol" w:cs="Segoe UI Symbol"/>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97998353"/>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97B79" w:rsidRDefault="00E97B79" w:rsidP="00E458FA">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This would appear to transfer the cost of the regulatory system from government to universities themselve</w:t>
      </w:r>
      <w:r w:rsidR="00257A64">
        <w:rPr>
          <w:rFonts w:asciiTheme="majorHAnsi" w:eastAsia="Times New Roman" w:hAnsiTheme="majorHAnsi" w:cs="Arial"/>
          <w:szCs w:val="24"/>
        </w:rPr>
        <w:t xml:space="preserve">s, since HEFCE is currently funded directly, even if other bodies, such as the HEA, are not. The move to a subscription model might be acceptable if </w:t>
      </w:r>
      <w:r w:rsidR="00145AD9">
        <w:rPr>
          <w:rFonts w:asciiTheme="majorHAnsi" w:eastAsia="Times New Roman" w:hAnsiTheme="majorHAnsi" w:cs="Arial"/>
          <w:szCs w:val="24"/>
        </w:rPr>
        <w:t xml:space="preserve">the funding to meet </w:t>
      </w:r>
      <w:r w:rsidR="00257A64">
        <w:rPr>
          <w:rFonts w:asciiTheme="majorHAnsi" w:eastAsia="Times New Roman" w:hAnsiTheme="majorHAnsi" w:cs="Arial"/>
          <w:szCs w:val="24"/>
        </w:rPr>
        <w:t>the costs</w:t>
      </w:r>
      <w:r w:rsidR="00145AD9">
        <w:rPr>
          <w:rFonts w:asciiTheme="majorHAnsi" w:eastAsia="Times New Roman" w:hAnsiTheme="majorHAnsi" w:cs="Arial"/>
          <w:szCs w:val="24"/>
        </w:rPr>
        <w:t xml:space="preserve"> incurred</w:t>
      </w:r>
      <w:r w:rsidR="00257A64">
        <w:rPr>
          <w:rFonts w:asciiTheme="majorHAnsi" w:eastAsia="Times New Roman" w:hAnsiTheme="majorHAnsi" w:cs="Arial"/>
          <w:szCs w:val="24"/>
        </w:rPr>
        <w:t>,</w:t>
      </w:r>
      <w:r w:rsidR="00145AD9">
        <w:rPr>
          <w:rFonts w:asciiTheme="majorHAnsi" w:eastAsia="Times New Roman" w:hAnsiTheme="majorHAnsi" w:cs="Arial"/>
          <w:szCs w:val="24"/>
        </w:rPr>
        <w:t xml:space="preserve"> or an agreed proportion of those costs, was</w:t>
      </w:r>
      <w:r w:rsidR="00257A64">
        <w:rPr>
          <w:rFonts w:asciiTheme="majorHAnsi" w:eastAsia="Times New Roman" w:hAnsiTheme="majorHAnsi" w:cs="Arial"/>
          <w:szCs w:val="24"/>
        </w:rPr>
        <w:t xml:space="preserve"> to be transferred to universities first. If this does not happen in an open and transparent manner, then it</w:t>
      </w:r>
      <w:r w:rsidR="00377763">
        <w:rPr>
          <w:rFonts w:asciiTheme="majorHAnsi" w:eastAsia="Times New Roman" w:hAnsiTheme="majorHAnsi" w:cs="Arial"/>
          <w:szCs w:val="24"/>
        </w:rPr>
        <w:t xml:space="preserve"> would be another burden on</w:t>
      </w:r>
      <w:r w:rsidR="00257A64">
        <w:rPr>
          <w:rFonts w:asciiTheme="majorHAnsi" w:eastAsia="Times New Roman" w:hAnsiTheme="majorHAnsi" w:cs="Arial"/>
          <w:szCs w:val="24"/>
        </w:rPr>
        <w:t xml:space="preserve"> HEIs.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22: </w:t>
      </w: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powers for </w:t>
      </w:r>
      <w:proofErr w:type="spellStart"/>
      <w:r w:rsidRPr="00E458FA">
        <w:rPr>
          <w:rFonts w:eastAsia="Times New Roman" w:cs="Arial"/>
          <w:szCs w:val="24"/>
        </w:rPr>
        <w:t>OfS</w:t>
      </w:r>
      <w:proofErr w:type="spellEnd"/>
      <w:r w:rsidRPr="00E458FA">
        <w:rPr>
          <w:rFonts w:eastAsia="Times New Roman" w:cs="Arial"/>
          <w:szCs w:val="24"/>
        </w:rPr>
        <w:t xml:space="preserve"> and the Secretary of State to manage risk?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73100556"/>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26043094"/>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82237460"/>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What safeguards for providers should be considered to limit the use of such powers?</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23: Do you agree with the proposed deregulatory measures?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217630817"/>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38669189"/>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75714231"/>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proposals would change the burden on providers.  Please quantify the benefits and/or costs where possible.</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numPr>
          <w:ilvl w:val="1"/>
          <w:numId w:val="0"/>
        </w:numPr>
        <w:spacing w:after="288" w:line="240" w:lineRule="auto"/>
        <w:ind w:left="142"/>
        <w:rPr>
          <w:rFonts w:eastAsiaTheme="majorEastAsia" w:cstheme="majorBidi"/>
          <w:b/>
          <w:iCs/>
          <w:color w:val="4F81BD" w:themeColor="accent1"/>
          <w:spacing w:val="15"/>
          <w:sz w:val="26"/>
          <w:szCs w:val="24"/>
          <w:u w:val="single"/>
        </w:rPr>
      </w:pPr>
    </w:p>
    <w:p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4" w:name="_Toc434412502"/>
      <w:r w:rsidRPr="00E458FA">
        <w:rPr>
          <w:rFonts w:eastAsia="Times New Roman" w:cs="Times New Roman"/>
          <w:b/>
          <w:bCs/>
          <w:color w:val="009BBB"/>
          <w:sz w:val="26"/>
          <w:szCs w:val="26"/>
        </w:rPr>
        <w:t>Reducing complexity and bureaucracy in research funding (Part D)</w:t>
      </w:r>
      <w:bookmarkEnd w:id="14"/>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24: In light of the proposed changes to the institutional framework for higher education, and the forthcoming Nurse Review, what are your views on the future design of the institutional research landscape?</w:t>
      </w:r>
    </w:p>
    <w:p w:rsidR="00B40E34" w:rsidRPr="00B40E34" w:rsidRDefault="00B40E34" w:rsidP="00B40E34">
      <w:pPr>
        <w:tabs>
          <w:tab w:val="left" w:pos="567"/>
        </w:tabs>
        <w:spacing w:after="288" w:line="240" w:lineRule="auto"/>
        <w:ind w:left="142" w:right="11"/>
        <w:rPr>
          <w:rFonts w:asciiTheme="majorHAnsi" w:eastAsia="Times New Roman" w:hAnsiTheme="majorHAnsi" w:cs="Arial"/>
          <w:szCs w:val="24"/>
        </w:rPr>
      </w:pPr>
      <w:r>
        <w:rPr>
          <w:rFonts w:asciiTheme="majorHAnsi" w:eastAsia="Times New Roman" w:hAnsiTheme="majorHAnsi" w:cs="Arial"/>
          <w:szCs w:val="24"/>
        </w:rPr>
        <w:t xml:space="preserve">SCUDD welcomes the general emphases of the Green Paper in its support for research, and would like to endorse strongly the decision to maintain the dual support system, which has </w:t>
      </w:r>
      <w:r w:rsidRPr="00B40E34">
        <w:rPr>
          <w:rFonts w:asciiTheme="majorHAnsi" w:hAnsiTheme="majorHAnsi"/>
          <w:szCs w:val="23"/>
        </w:rPr>
        <w:t>proved an excellent means of supporting the diverse and varied research that is produced within the UK</w:t>
      </w:r>
      <w:r>
        <w:rPr>
          <w:rFonts w:asciiTheme="majorHAnsi" w:hAnsiTheme="majorHAnsi"/>
          <w:szCs w:val="23"/>
        </w:rPr>
        <w:t>, across all disciplines</w:t>
      </w:r>
      <w:r w:rsidRPr="00B40E34">
        <w:rPr>
          <w:rFonts w:asciiTheme="majorHAnsi" w:hAnsiTheme="majorHAnsi"/>
          <w:szCs w:val="23"/>
        </w:rPr>
        <w:t xml:space="preserve">. </w:t>
      </w:r>
      <w:r w:rsidR="0043210B">
        <w:rPr>
          <w:rFonts w:asciiTheme="majorHAnsi" w:hAnsiTheme="majorHAnsi"/>
          <w:szCs w:val="23"/>
        </w:rPr>
        <w:t xml:space="preserve">Any new institutional framework will need to acknowledge, and build upon, the strengths of the current one. It will also need to </w:t>
      </w:r>
      <w:r w:rsidR="00F74F53">
        <w:rPr>
          <w:rFonts w:asciiTheme="majorHAnsi" w:hAnsiTheme="majorHAnsi"/>
          <w:szCs w:val="23"/>
        </w:rPr>
        <w:t>ensure that research excellence is built on the principles of peer review and respect for diversity across the sector – in STEAM and STEM.</w:t>
      </w:r>
    </w:p>
    <w:p w:rsidR="00B40E34" w:rsidRDefault="00B40E34" w:rsidP="00B40E34">
      <w:pPr>
        <w:tabs>
          <w:tab w:val="left" w:pos="567"/>
        </w:tabs>
        <w:spacing w:after="288" w:line="240" w:lineRule="auto"/>
        <w:ind w:left="142" w:right="11"/>
        <w:rPr>
          <w:rFonts w:asciiTheme="majorHAnsi" w:hAnsiTheme="majorHAnsi"/>
        </w:rPr>
      </w:pPr>
      <w:r>
        <w:rPr>
          <w:rFonts w:asciiTheme="majorHAnsi" w:hAnsiTheme="majorHAnsi"/>
          <w:szCs w:val="23"/>
        </w:rPr>
        <w:t xml:space="preserve">There is </w:t>
      </w:r>
      <w:r w:rsidR="006D3C83">
        <w:rPr>
          <w:rFonts w:asciiTheme="majorHAnsi" w:hAnsiTheme="majorHAnsi"/>
          <w:szCs w:val="23"/>
        </w:rPr>
        <w:t xml:space="preserve">a </w:t>
      </w:r>
      <w:r>
        <w:rPr>
          <w:rFonts w:asciiTheme="majorHAnsi" w:hAnsiTheme="majorHAnsi"/>
          <w:szCs w:val="23"/>
        </w:rPr>
        <w:t>danger, which is suggested by the thrust of the Green Paper as a whole rather Part D in particular, that the new regulatory system will enforce a de facto separation between teaching and research, which will be to the detriment of both, running counter to the way that universities actual</w:t>
      </w:r>
      <w:r w:rsidR="006D3C83">
        <w:rPr>
          <w:rFonts w:asciiTheme="majorHAnsi" w:hAnsiTheme="majorHAnsi"/>
          <w:szCs w:val="23"/>
        </w:rPr>
        <w:t>ly operate and damaging</w:t>
      </w:r>
      <w:r>
        <w:rPr>
          <w:rFonts w:asciiTheme="majorHAnsi" w:hAnsiTheme="majorHAnsi"/>
          <w:szCs w:val="23"/>
        </w:rPr>
        <w:t xml:space="preserve"> the productivity of the sector. Certainly, strategic planning of the kind t</w:t>
      </w:r>
      <w:r w:rsidR="0043210B">
        <w:rPr>
          <w:rFonts w:asciiTheme="majorHAnsi" w:hAnsiTheme="majorHAnsi"/>
          <w:szCs w:val="23"/>
        </w:rPr>
        <w:t>hat HEFCE h</w:t>
      </w:r>
      <w:r>
        <w:rPr>
          <w:rFonts w:asciiTheme="majorHAnsi" w:hAnsiTheme="majorHAnsi"/>
          <w:szCs w:val="23"/>
        </w:rPr>
        <w:t xml:space="preserve">as </w:t>
      </w:r>
      <w:r w:rsidR="00D806DF">
        <w:rPr>
          <w:rFonts w:asciiTheme="majorHAnsi" w:hAnsiTheme="majorHAnsi"/>
          <w:szCs w:val="23"/>
        </w:rPr>
        <w:t>allowed – with its oversight</w:t>
      </w:r>
      <w:r w:rsidR="001F0C79">
        <w:rPr>
          <w:rFonts w:asciiTheme="majorHAnsi" w:hAnsiTheme="majorHAnsi"/>
          <w:szCs w:val="23"/>
        </w:rPr>
        <w:t xml:space="preserve"> of </w:t>
      </w:r>
      <w:r w:rsidRPr="00B40E34">
        <w:rPr>
          <w:rFonts w:asciiTheme="majorHAnsi" w:hAnsiTheme="majorHAnsi"/>
        </w:rPr>
        <w:t xml:space="preserve">teaching and research policy, funding, capital and quality </w:t>
      </w:r>
      <w:r>
        <w:rPr>
          <w:rFonts w:asciiTheme="majorHAnsi" w:hAnsiTheme="majorHAnsi"/>
        </w:rPr>
        <w:t xml:space="preserve">- </w:t>
      </w:r>
      <w:r>
        <w:rPr>
          <w:rFonts w:asciiTheme="majorHAnsi" w:hAnsiTheme="majorHAnsi"/>
          <w:szCs w:val="23"/>
        </w:rPr>
        <w:t>will be harder</w:t>
      </w:r>
      <w:r w:rsidRPr="00B40E34">
        <w:rPr>
          <w:rFonts w:asciiTheme="majorHAnsi" w:hAnsiTheme="majorHAnsi"/>
        </w:rPr>
        <w:t>. This separation will effectively mean that the only strategic overview for teaching and research</w:t>
      </w:r>
      <w:r>
        <w:rPr>
          <w:rFonts w:asciiTheme="majorHAnsi" w:hAnsiTheme="majorHAnsi"/>
        </w:rPr>
        <w:t xml:space="preserve"> matters of this kind </w:t>
      </w:r>
      <w:r w:rsidRPr="00B40E34">
        <w:rPr>
          <w:rFonts w:asciiTheme="majorHAnsi" w:hAnsiTheme="majorHAnsi"/>
        </w:rPr>
        <w:t>will lie with BIS</w:t>
      </w:r>
      <w:r>
        <w:rPr>
          <w:rFonts w:asciiTheme="majorHAnsi" w:hAnsiTheme="majorHAnsi"/>
        </w:rPr>
        <w:t>. There are dangers</w:t>
      </w:r>
      <w:r w:rsidRPr="00B40E34">
        <w:rPr>
          <w:rFonts w:asciiTheme="majorHAnsi" w:hAnsiTheme="majorHAnsi"/>
        </w:rPr>
        <w:t xml:space="preserve">, </w:t>
      </w:r>
      <w:r>
        <w:rPr>
          <w:rFonts w:asciiTheme="majorHAnsi" w:hAnsiTheme="majorHAnsi"/>
        </w:rPr>
        <w:t>which the Green Paper acknowledges in other contexts, that the arm’s length principle, a cornerstone of HEI funding, will be compromised.</w:t>
      </w:r>
    </w:p>
    <w:p w:rsidR="001F0C79" w:rsidRDefault="001F0C79" w:rsidP="00B40E34">
      <w:pPr>
        <w:tabs>
          <w:tab w:val="left" w:pos="567"/>
        </w:tabs>
        <w:spacing w:after="288" w:line="240" w:lineRule="auto"/>
        <w:ind w:left="142" w:right="11"/>
        <w:rPr>
          <w:rFonts w:asciiTheme="majorHAnsi" w:hAnsiTheme="majorHAnsi"/>
        </w:rPr>
      </w:pPr>
      <w:r>
        <w:rPr>
          <w:rFonts w:asciiTheme="majorHAnsi" w:hAnsiTheme="majorHAnsi"/>
        </w:rPr>
        <w:t>The Green Paper does not, in our view, acknowledge sufficiently the vital relationship between teaching and research. Mention</w:t>
      </w:r>
      <w:r w:rsidR="00377763">
        <w:rPr>
          <w:rFonts w:asciiTheme="majorHAnsi" w:hAnsiTheme="majorHAnsi"/>
        </w:rPr>
        <w:t xml:space="preserve"> is made of it on p.32 para</w:t>
      </w:r>
      <w:r>
        <w:rPr>
          <w:rFonts w:asciiTheme="majorHAnsi" w:hAnsiTheme="majorHAnsi"/>
        </w:rPr>
        <w:t xml:space="preserve"> 8 as an aspect of the learning environment</w:t>
      </w:r>
      <w:r w:rsidR="00852A28">
        <w:rPr>
          <w:rFonts w:asciiTheme="majorHAnsi" w:hAnsiTheme="majorHAnsi"/>
        </w:rPr>
        <w:t>, but for SCUDD members the complex and profound connections between teaching and research is crucial to their practice as teachers and researchers. As a paper written for Palatine, the LTSN for Dance, Drama and the Performing Arts argues, this relationship is one of the defining characteristics of HE (</w:t>
      </w:r>
      <w:hyperlink r:id="rId13" w:history="1">
        <w:r w:rsidR="00852A28" w:rsidRPr="00550B12">
          <w:rPr>
            <w:rStyle w:val="Hyperlink"/>
            <w:rFonts w:asciiTheme="majorHAnsi" w:hAnsiTheme="majorHAnsi"/>
          </w:rPr>
          <w:t>https://www.heacademy.ac.uk/sites/default/files/creative-graduates-enhancing-teaching-research-links-in-the-creative-arts.pdf</w:t>
        </w:r>
      </w:hyperlink>
      <w:r w:rsidR="00852A28">
        <w:rPr>
          <w:rFonts w:asciiTheme="majorHAnsi" w:hAnsiTheme="majorHAnsi"/>
        </w:rPr>
        <w:t xml:space="preserve">). It should underpin any discussion of teaching excellence and research strength. </w:t>
      </w:r>
    </w:p>
    <w:p w:rsidR="00EB1A93" w:rsidRPr="00E25B4B" w:rsidRDefault="00B40E34" w:rsidP="00E25B4B">
      <w:pPr>
        <w:tabs>
          <w:tab w:val="left" w:pos="567"/>
        </w:tabs>
        <w:spacing w:after="288" w:line="240" w:lineRule="auto"/>
        <w:ind w:left="142" w:right="11"/>
        <w:rPr>
          <w:rFonts w:asciiTheme="majorHAnsi" w:hAnsiTheme="majorHAnsi"/>
          <w:szCs w:val="23"/>
        </w:rPr>
      </w:pPr>
      <w:r w:rsidRPr="00B40E34">
        <w:rPr>
          <w:rFonts w:asciiTheme="majorHAnsi" w:hAnsiTheme="majorHAnsi"/>
          <w:szCs w:val="23"/>
        </w:rPr>
        <w:t xml:space="preserve">We </w:t>
      </w:r>
      <w:r>
        <w:rPr>
          <w:rFonts w:asciiTheme="majorHAnsi" w:hAnsiTheme="majorHAnsi"/>
          <w:szCs w:val="23"/>
        </w:rPr>
        <w:t xml:space="preserve">also </w:t>
      </w:r>
      <w:r w:rsidRPr="00B40E34">
        <w:rPr>
          <w:rFonts w:asciiTheme="majorHAnsi" w:hAnsiTheme="majorHAnsi"/>
          <w:szCs w:val="23"/>
        </w:rPr>
        <w:t xml:space="preserve">hope that any new regulator is able to recognize the need to </w:t>
      </w:r>
      <w:r w:rsidR="00EB1A93">
        <w:rPr>
          <w:rFonts w:asciiTheme="majorHAnsi" w:hAnsiTheme="majorHAnsi"/>
          <w:szCs w:val="23"/>
        </w:rPr>
        <w:t>support diversity in the HE system, which is the source of many of its principle strengths. As a recent report for Guild HE makes clear</w:t>
      </w:r>
      <w:r w:rsidR="00E25B4B">
        <w:rPr>
          <w:rFonts w:asciiTheme="majorHAnsi" w:hAnsiTheme="majorHAnsi"/>
          <w:szCs w:val="23"/>
        </w:rPr>
        <w:t xml:space="preserve"> </w:t>
      </w:r>
      <w:r w:rsidR="00E25B4B" w:rsidRPr="00E25B4B">
        <w:rPr>
          <w:rFonts w:asciiTheme="majorHAnsi" w:hAnsiTheme="majorHAnsi"/>
        </w:rPr>
        <w:t xml:space="preserve">(Paul </w:t>
      </w:r>
      <w:proofErr w:type="spellStart"/>
      <w:r w:rsidR="00E25B4B" w:rsidRPr="00E25B4B">
        <w:rPr>
          <w:rFonts w:asciiTheme="majorHAnsi" w:hAnsiTheme="majorHAnsi"/>
        </w:rPr>
        <w:t>Kleiman</w:t>
      </w:r>
      <w:proofErr w:type="spellEnd"/>
      <w:r w:rsidR="00E25B4B" w:rsidRPr="00E25B4B">
        <w:rPr>
          <w:rFonts w:asciiTheme="majorHAnsi" w:hAnsiTheme="majorHAnsi"/>
        </w:rPr>
        <w:t xml:space="preserve">, </w:t>
      </w:r>
      <w:r w:rsidR="00E25B4B" w:rsidRPr="00E25B4B">
        <w:rPr>
          <w:rFonts w:asciiTheme="majorHAnsi" w:hAnsiTheme="majorHAnsi"/>
          <w:i/>
        </w:rPr>
        <w:t>Excellence in Diversity</w:t>
      </w:r>
      <w:r w:rsidR="00E25B4B" w:rsidRPr="00E25B4B">
        <w:rPr>
          <w:rFonts w:asciiTheme="majorHAnsi" w:hAnsiTheme="majorHAnsi"/>
        </w:rPr>
        <w:t>, 2015)</w:t>
      </w:r>
      <w:r w:rsidR="00E25B4B">
        <w:rPr>
          <w:rFonts w:asciiTheme="majorHAnsi" w:hAnsiTheme="majorHAnsi"/>
        </w:rPr>
        <w:t>, there is significant and innovative work being done in smaller, specialist and regionally focused HEIs, especially with regard to teaching, research and knowledge transfer (the case studies in the section entitled ‘Research and Innovation’ make this abundantly clear).</w:t>
      </w:r>
    </w:p>
    <w:p w:rsidR="00B40E34" w:rsidRDefault="00B40E34" w:rsidP="00B40E34">
      <w:pPr>
        <w:tabs>
          <w:tab w:val="left" w:pos="567"/>
        </w:tabs>
        <w:spacing w:after="288" w:line="240" w:lineRule="auto"/>
        <w:ind w:left="142" w:right="11"/>
        <w:rPr>
          <w:rFonts w:asciiTheme="majorHAnsi" w:hAnsiTheme="majorHAnsi"/>
          <w:szCs w:val="23"/>
        </w:rPr>
      </w:pPr>
      <w:r>
        <w:rPr>
          <w:rFonts w:asciiTheme="majorHAnsi" w:hAnsiTheme="majorHAnsi"/>
          <w:szCs w:val="23"/>
        </w:rPr>
        <w:t>It is difficult to comment on the Nurse Review in advance of its findings, but indications are that it will recommend a single structure</w:t>
      </w:r>
      <w:r w:rsidR="0043210B">
        <w:rPr>
          <w:rFonts w:asciiTheme="majorHAnsi" w:hAnsiTheme="majorHAnsi"/>
          <w:szCs w:val="23"/>
        </w:rPr>
        <w:t xml:space="preserve"> for the Research Councils</w:t>
      </w:r>
      <w:r>
        <w:rPr>
          <w:rFonts w:asciiTheme="majorHAnsi" w:hAnsiTheme="majorHAnsi"/>
          <w:szCs w:val="23"/>
        </w:rPr>
        <w:t xml:space="preserve">, with consequent savings in ‘back-room’ functions. If this is the case, then there may well be new opportunities for inter-disciplinary research partnerships and projects, that could also be inter-institutional and international, supporting industry practices and innovative solutions to problems. </w:t>
      </w:r>
    </w:p>
    <w:p w:rsidR="00B40E34" w:rsidRDefault="00B40E34" w:rsidP="00B40E34">
      <w:pPr>
        <w:tabs>
          <w:tab w:val="left" w:pos="567"/>
        </w:tabs>
        <w:spacing w:after="288" w:line="240" w:lineRule="auto"/>
        <w:ind w:left="142" w:right="11"/>
        <w:rPr>
          <w:rFonts w:asciiTheme="majorHAnsi" w:hAnsiTheme="majorHAnsi"/>
          <w:szCs w:val="23"/>
        </w:rPr>
      </w:pPr>
      <w:r>
        <w:rPr>
          <w:rFonts w:asciiTheme="majorHAnsi" w:hAnsiTheme="majorHAnsi"/>
          <w:szCs w:val="23"/>
        </w:rPr>
        <w:t>It is essential, however, that the new system does not allow government-led priorities to undermine the independence of the Councils, or prohibit long-term thinking and planning. Many of the most successful partnerships that underpinned the impact templates and case studies submitted to REF2014</w:t>
      </w:r>
      <w:r w:rsidR="006D3C83">
        <w:rPr>
          <w:rFonts w:asciiTheme="majorHAnsi" w:hAnsiTheme="majorHAnsi"/>
          <w:szCs w:val="23"/>
        </w:rPr>
        <w:t>, for example,</w:t>
      </w:r>
      <w:r>
        <w:rPr>
          <w:rFonts w:asciiTheme="majorHAnsi" w:hAnsiTheme="majorHAnsi"/>
          <w:szCs w:val="23"/>
        </w:rPr>
        <w:t xml:space="preserve"> were the product of relationships nurtured over time and with long-term, developing support and planning. </w:t>
      </w:r>
    </w:p>
    <w:p w:rsidR="00B40E34" w:rsidRDefault="00B40E34" w:rsidP="00B40E34">
      <w:pPr>
        <w:pStyle w:val="Default"/>
        <w:ind w:left="142"/>
        <w:rPr>
          <w:rFonts w:asciiTheme="majorHAnsi" w:hAnsiTheme="majorHAnsi"/>
          <w:color w:val="auto"/>
          <w:szCs w:val="23"/>
        </w:rPr>
      </w:pPr>
      <w:r>
        <w:rPr>
          <w:rFonts w:asciiTheme="majorHAnsi" w:hAnsiTheme="majorHAnsi"/>
          <w:color w:val="auto"/>
          <w:szCs w:val="23"/>
        </w:rPr>
        <w:t>T</w:t>
      </w:r>
      <w:r w:rsidRPr="00B40E34">
        <w:rPr>
          <w:rFonts w:asciiTheme="majorHAnsi" w:hAnsiTheme="majorHAnsi"/>
          <w:color w:val="auto"/>
          <w:szCs w:val="23"/>
        </w:rPr>
        <w:t>he future design of the institutional research landscape needs to take into consideration the fact that the UK now lies at the bottom of the G8 and OECD countries in terms of investment as a proportion of GDP. This erosion of funding compromises our long-term sustainability as a global leader.</w:t>
      </w:r>
    </w:p>
    <w:p w:rsidR="0043210B" w:rsidRDefault="0043210B" w:rsidP="00B40E34">
      <w:pPr>
        <w:pStyle w:val="Default"/>
        <w:ind w:left="142"/>
        <w:rPr>
          <w:rFonts w:asciiTheme="majorHAnsi" w:hAnsiTheme="majorHAnsi"/>
          <w:color w:val="auto"/>
          <w:szCs w:val="23"/>
        </w:rPr>
      </w:pPr>
    </w:p>
    <w:p w:rsidR="00B40E34" w:rsidRDefault="00B40E34" w:rsidP="00B40E34">
      <w:pPr>
        <w:pStyle w:val="Default"/>
        <w:rPr>
          <w:rFonts w:asciiTheme="majorHAnsi" w:hAnsiTheme="majorHAnsi"/>
          <w:color w:val="auto"/>
          <w:szCs w:val="23"/>
        </w:rPr>
      </w:pPr>
      <w:r>
        <w:rPr>
          <w:rFonts w:asciiTheme="majorHAnsi" w:hAnsiTheme="majorHAnsi"/>
          <w:color w:val="auto"/>
          <w:szCs w:val="23"/>
        </w:rPr>
        <w:t>There is an issue – as with so many of the reforms proposed in t</w:t>
      </w:r>
      <w:r w:rsidR="001F0C79">
        <w:rPr>
          <w:rFonts w:asciiTheme="majorHAnsi" w:hAnsiTheme="majorHAnsi"/>
          <w:color w:val="auto"/>
          <w:szCs w:val="23"/>
        </w:rPr>
        <w:t xml:space="preserve">he Green Paper – of whether or </w:t>
      </w:r>
      <w:r>
        <w:rPr>
          <w:rFonts w:asciiTheme="majorHAnsi" w:hAnsiTheme="majorHAnsi"/>
          <w:color w:val="auto"/>
          <w:szCs w:val="23"/>
        </w:rPr>
        <w:t>not the devolved administrations choose to follow the UK Government’s lead. It would be both incoherent and problematic if they did not, and would seriously damage the intention to create a single, efficient funding and regulatory system.</w:t>
      </w:r>
    </w:p>
    <w:p w:rsidR="0043210B" w:rsidRDefault="0043210B" w:rsidP="00B40E34">
      <w:pPr>
        <w:pStyle w:val="Default"/>
        <w:rPr>
          <w:rFonts w:asciiTheme="majorHAnsi" w:hAnsiTheme="majorHAnsi"/>
          <w:color w:val="auto"/>
          <w:szCs w:val="23"/>
        </w:rPr>
      </w:pPr>
    </w:p>
    <w:p w:rsidR="0043210B" w:rsidRPr="00B40E34" w:rsidRDefault="0043210B" w:rsidP="00B40E34">
      <w:pPr>
        <w:pStyle w:val="Default"/>
        <w:rPr>
          <w:rFonts w:asciiTheme="majorHAnsi" w:hAnsiTheme="majorHAnsi"/>
          <w:color w:val="auto"/>
          <w:szCs w:val="23"/>
        </w:rPr>
      </w:pPr>
    </w:p>
    <w:p w:rsidR="00B40E34" w:rsidRDefault="00B40E34" w:rsidP="00B40E34">
      <w:pPr>
        <w:tabs>
          <w:tab w:val="left" w:pos="567"/>
        </w:tabs>
        <w:spacing w:after="288" w:line="240" w:lineRule="auto"/>
        <w:ind w:left="142" w:right="11"/>
        <w:rPr>
          <w:rFonts w:asciiTheme="majorHAnsi" w:hAnsiTheme="majorHAnsi"/>
        </w:rPr>
      </w:pPr>
    </w:p>
    <w:p w:rsidR="00E458FA" w:rsidRPr="00E458FA" w:rsidRDefault="00F74F53" w:rsidP="00E458FA">
      <w:pPr>
        <w:tabs>
          <w:tab w:val="left" w:pos="567"/>
        </w:tabs>
        <w:spacing w:after="288" w:line="240" w:lineRule="auto"/>
        <w:ind w:left="142" w:right="11"/>
        <w:rPr>
          <w:rFonts w:eastAsia="Times New Roman" w:cs="Arial"/>
          <w:szCs w:val="24"/>
        </w:rPr>
      </w:pPr>
      <w:r>
        <w:rPr>
          <w:rFonts w:eastAsia="Times New Roman" w:cs="Arial"/>
          <w:szCs w:val="24"/>
        </w:rPr>
        <w:t>Q</w:t>
      </w:r>
      <w:r w:rsidR="00E458FA" w:rsidRPr="00E458FA">
        <w:rPr>
          <w:rFonts w:eastAsia="Times New Roman" w:cs="Arial"/>
          <w:szCs w:val="24"/>
        </w:rPr>
        <w:t>uestion 25:</w:t>
      </w:r>
    </w:p>
    <w:p w:rsid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What safeguards would you want to see in place in the event that dual funding was operated within a single organisation?</w:t>
      </w:r>
    </w:p>
    <w:p w:rsidR="00E458FA" w:rsidRPr="00E458FA" w:rsidRDefault="00F74F53" w:rsidP="00463003">
      <w:pPr>
        <w:tabs>
          <w:tab w:val="left" w:pos="567"/>
        </w:tabs>
        <w:spacing w:after="288" w:line="240" w:lineRule="auto"/>
        <w:ind w:left="502" w:right="11"/>
        <w:rPr>
          <w:rFonts w:eastAsia="Times New Roman" w:cs="Arial"/>
          <w:szCs w:val="24"/>
        </w:rPr>
      </w:pPr>
      <w:r>
        <w:rPr>
          <w:rFonts w:asciiTheme="majorHAnsi" w:eastAsia="Times New Roman" w:hAnsiTheme="majorHAnsi" w:cs="Arial"/>
          <w:szCs w:val="24"/>
        </w:rPr>
        <w:t>We do not think that dual funding should exist within the sam</w:t>
      </w:r>
      <w:r w:rsidR="00D2174B">
        <w:rPr>
          <w:rFonts w:asciiTheme="majorHAnsi" w:eastAsia="Times New Roman" w:hAnsiTheme="majorHAnsi" w:cs="Arial"/>
          <w:szCs w:val="24"/>
        </w:rPr>
        <w:t>e organisation</w:t>
      </w:r>
      <w:r>
        <w:rPr>
          <w:rFonts w:asciiTheme="majorHAnsi" w:eastAsia="Times New Roman" w:hAnsiTheme="majorHAnsi" w:cs="Arial"/>
          <w:szCs w:val="24"/>
        </w:rPr>
        <w:t>. If it were, then, over time, ther</w:t>
      </w:r>
      <w:r w:rsidR="00463003">
        <w:rPr>
          <w:rFonts w:asciiTheme="majorHAnsi" w:eastAsia="Times New Roman" w:hAnsiTheme="majorHAnsi" w:cs="Arial"/>
          <w:szCs w:val="24"/>
        </w:rPr>
        <w:t xml:space="preserve">e might well be pressure brought to bear on the system in the name of ‘efficiency’, and a separation of the two funding streams would help inspire confidence in the arrangements. </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Pr="00E458FA" w:rsidRDefault="00E458FA" w:rsidP="00E458FA">
      <w:pPr>
        <w:numPr>
          <w:ilvl w:val="0"/>
          <w:numId w:val="26"/>
        </w:numPr>
        <w:tabs>
          <w:tab w:val="left" w:pos="567"/>
        </w:tabs>
        <w:spacing w:after="288" w:line="240" w:lineRule="auto"/>
        <w:ind w:right="11"/>
        <w:rPr>
          <w:rFonts w:eastAsia="Times New Roman" w:cs="Arial"/>
          <w:szCs w:val="24"/>
        </w:rPr>
      </w:pPr>
      <w:r w:rsidRPr="00E458FA">
        <w:rPr>
          <w:rFonts w:eastAsia="Times New Roman" w:cs="Arial"/>
          <w:szCs w:val="24"/>
        </w:rPr>
        <w:t xml:space="preserve">Would you favour a degree of hypothecation to ensure that dual funding streams, along with their distinctive characteristics, could not be changed by that organisation? </w:t>
      </w:r>
    </w:p>
    <w:p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617647884"/>
          <w14:checkbox>
            <w14:checked w14:val="1"/>
            <w14:checkedState w14:val="2612" w14:font="Yu Gothic UI"/>
            <w14:uncheckedState w14:val="2610" w14:font="Yu Gothic UI"/>
          </w14:checkbox>
        </w:sdtPr>
        <w:sdtContent>
          <w:r w:rsidR="00463003">
            <w:rPr>
              <w:rFonts w:ascii="Segoe UI Symbol" w:eastAsia="Yu Gothic UI" w:hAnsi="Segoe UI Symbol" w:cs="Segoe UI Symbol"/>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675464568"/>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7283413"/>
          <w14:checkbox>
            <w14:checked w14:val="0"/>
            <w14:checkedState w14:val="2612" w14:font="Yu Gothic UI"/>
            <w14:uncheckedState w14:val="2610" w14:font="Yu Gothic UI"/>
          </w14:checkbox>
        </w:sdt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rsidR="00E458FA" w:rsidRPr="00E458FA" w:rsidRDefault="00E458FA" w:rsidP="00E458FA">
      <w:pPr>
        <w:tabs>
          <w:tab w:val="left" w:pos="567"/>
        </w:tabs>
        <w:spacing w:after="288" w:line="240" w:lineRule="auto"/>
        <w:ind w:left="502" w:right="11"/>
        <w:rPr>
          <w:rFonts w:eastAsia="Times New Roman" w:cs="Arial"/>
          <w:szCs w:val="24"/>
        </w:rPr>
      </w:pPr>
      <w:r w:rsidRPr="00E458FA">
        <w:rPr>
          <w:rFonts w:eastAsia="Times New Roman" w:cs="Arial"/>
          <w:szCs w:val="24"/>
        </w:rPr>
        <w:t>Please give reasons for your answer</w:t>
      </w:r>
    </w:p>
    <w:p w:rsidR="00E458FA" w:rsidRPr="00E458FA" w:rsidRDefault="00463003" w:rsidP="00E458FA">
      <w:pPr>
        <w:tabs>
          <w:tab w:val="left" w:pos="567"/>
        </w:tabs>
        <w:spacing w:after="288" w:line="240" w:lineRule="auto"/>
        <w:ind w:left="142" w:right="11"/>
        <w:rPr>
          <w:rFonts w:eastAsia="Times New Roman" w:cs="Arial"/>
          <w:szCs w:val="24"/>
        </w:rPr>
      </w:pPr>
      <w:r>
        <w:rPr>
          <w:rFonts w:asciiTheme="majorHAnsi" w:eastAsia="Times New Roman" w:hAnsiTheme="majorHAnsi" w:cs="Arial"/>
          <w:szCs w:val="24"/>
        </w:rPr>
        <w:t xml:space="preserve">Hypothecation would be a good means of ensuring that the dual funding streams retain their integrity. Again, perception counts for a great deal in this regard, and hypothecation </w:t>
      </w:r>
      <w:r w:rsidR="00D2174B">
        <w:rPr>
          <w:rFonts w:asciiTheme="majorHAnsi" w:eastAsia="Times New Roman" w:hAnsiTheme="majorHAnsi" w:cs="Arial"/>
          <w:szCs w:val="24"/>
        </w:rPr>
        <w:t>would build trust</w:t>
      </w:r>
      <w:r>
        <w:rPr>
          <w:rFonts w:asciiTheme="majorHAnsi" w:eastAsia="Times New Roman" w:hAnsiTheme="majorHAnsi" w:cs="Arial"/>
          <w:szCs w:val="24"/>
        </w:rPr>
        <w:t xml:space="preserve"> in the system.</w:t>
      </w:r>
    </w:p>
    <w:p w:rsidR="00E458FA" w:rsidRPr="00E458FA" w:rsidRDefault="00E458FA" w:rsidP="00E458FA">
      <w:pPr>
        <w:tabs>
          <w:tab w:val="left" w:pos="567"/>
        </w:tabs>
        <w:spacing w:after="288" w:line="240" w:lineRule="auto"/>
        <w:ind w:left="142" w:right="11"/>
        <w:rPr>
          <w:rFonts w:eastAsia="Times New Roman" w:cs="Arial"/>
          <w:szCs w:val="24"/>
        </w:rPr>
      </w:pPr>
    </w:p>
    <w:p w:rsid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26: What are the benefits of the REF to a) your institution and b) to the wider sector? How can we ensure they are preserved?</w:t>
      </w:r>
    </w:p>
    <w:p w:rsidR="000A5693" w:rsidRDefault="000A5693" w:rsidP="000A5693">
      <w:pPr>
        <w:tabs>
          <w:tab w:val="left" w:pos="567"/>
        </w:tabs>
        <w:spacing w:after="288" w:line="240" w:lineRule="auto"/>
        <w:ind w:left="142" w:right="11"/>
        <w:rPr>
          <w:rFonts w:asciiTheme="majorHAnsi" w:hAnsiTheme="majorHAnsi" w:cs="Times New Roman"/>
          <w:szCs w:val="23"/>
        </w:rPr>
      </w:pPr>
      <w:r>
        <w:rPr>
          <w:rFonts w:asciiTheme="majorHAnsi" w:hAnsiTheme="majorHAnsi" w:cs="Times New Roman"/>
          <w:szCs w:val="23"/>
        </w:rPr>
        <w:t>We cannot respond to this question from the perspective of a particular institution, but will instead draw on cross-institutional discussion between our members.</w:t>
      </w:r>
      <w:r w:rsidRPr="000A5693">
        <w:rPr>
          <w:rFonts w:asciiTheme="majorHAnsi" w:hAnsiTheme="majorHAnsi" w:cs="Times New Roman"/>
          <w:szCs w:val="23"/>
        </w:rPr>
        <w:t xml:space="preserve"> </w:t>
      </w:r>
      <w:r>
        <w:rPr>
          <w:rFonts w:asciiTheme="majorHAnsi" w:hAnsiTheme="majorHAnsi" w:cs="Times New Roman"/>
          <w:szCs w:val="23"/>
        </w:rPr>
        <w:t xml:space="preserve">Whilst the REF has placed considerable bureaucratic demands on both HEIs and individual staff, it has had benefits to the development of a research culture. </w:t>
      </w:r>
      <w:r w:rsidRPr="00463003">
        <w:rPr>
          <w:rFonts w:asciiTheme="majorHAnsi" w:hAnsiTheme="majorHAnsi" w:cs="Times New Roman"/>
          <w:szCs w:val="23"/>
        </w:rPr>
        <w:t>REF is a process that encourages strategic th</w:t>
      </w:r>
      <w:r>
        <w:rPr>
          <w:rFonts w:asciiTheme="majorHAnsi" w:hAnsiTheme="majorHAnsi" w:cs="Times New Roman"/>
          <w:szCs w:val="23"/>
        </w:rPr>
        <w:t xml:space="preserve">inking about key issues: the relationship between research and </w:t>
      </w:r>
      <w:r w:rsidRPr="00463003">
        <w:rPr>
          <w:rFonts w:asciiTheme="majorHAnsi" w:hAnsiTheme="majorHAnsi" w:cs="Times New Roman"/>
          <w:szCs w:val="23"/>
        </w:rPr>
        <w:t xml:space="preserve">teaching, </w:t>
      </w:r>
      <w:r>
        <w:rPr>
          <w:rFonts w:asciiTheme="majorHAnsi" w:hAnsiTheme="majorHAnsi" w:cs="Times New Roman"/>
          <w:szCs w:val="23"/>
        </w:rPr>
        <w:t xml:space="preserve">on the one hand, and </w:t>
      </w:r>
      <w:r w:rsidRPr="00463003">
        <w:rPr>
          <w:rFonts w:asciiTheme="majorHAnsi" w:hAnsiTheme="majorHAnsi" w:cs="Times New Roman"/>
          <w:szCs w:val="23"/>
        </w:rPr>
        <w:t>public engagement, knowledge exchange and the wider relationships that universities have with local, national and international communities</w:t>
      </w:r>
      <w:r>
        <w:rPr>
          <w:rFonts w:asciiTheme="majorHAnsi" w:hAnsiTheme="majorHAnsi" w:cs="Times New Roman"/>
          <w:szCs w:val="23"/>
        </w:rPr>
        <w:t xml:space="preserve"> on the other</w:t>
      </w:r>
      <w:r w:rsidRPr="00463003">
        <w:rPr>
          <w:rFonts w:asciiTheme="majorHAnsi" w:hAnsiTheme="majorHAnsi" w:cs="Times New Roman"/>
          <w:szCs w:val="23"/>
        </w:rPr>
        <w:t>. It functions as a mode of identifying strategic priorities at an institutional a</w:t>
      </w:r>
      <w:r>
        <w:rPr>
          <w:rFonts w:asciiTheme="majorHAnsi" w:hAnsiTheme="majorHAnsi" w:cs="Times New Roman"/>
          <w:szCs w:val="23"/>
        </w:rPr>
        <w:t xml:space="preserve">nd individual staff level and </w:t>
      </w:r>
      <w:r w:rsidRPr="00463003">
        <w:rPr>
          <w:rFonts w:asciiTheme="majorHAnsi" w:hAnsiTheme="majorHAnsi" w:cs="Times New Roman"/>
          <w:szCs w:val="23"/>
        </w:rPr>
        <w:t xml:space="preserve">provides independent feedback on research strengths that further feeds </w:t>
      </w:r>
      <w:r>
        <w:rPr>
          <w:rFonts w:asciiTheme="majorHAnsi" w:hAnsiTheme="majorHAnsi" w:cs="Times New Roman"/>
          <w:szCs w:val="23"/>
        </w:rPr>
        <w:t>into institutional planning.</w:t>
      </w:r>
    </w:p>
    <w:p w:rsidR="009A58E7" w:rsidRDefault="000A5693" w:rsidP="000A5693">
      <w:pPr>
        <w:tabs>
          <w:tab w:val="left" w:pos="567"/>
        </w:tabs>
        <w:spacing w:after="288" w:line="240" w:lineRule="auto"/>
        <w:ind w:left="142" w:right="11"/>
        <w:rPr>
          <w:rFonts w:asciiTheme="majorHAnsi" w:hAnsiTheme="majorHAnsi" w:cs="Times New Roman"/>
          <w:szCs w:val="23"/>
        </w:rPr>
      </w:pPr>
      <w:r>
        <w:rPr>
          <w:rFonts w:asciiTheme="majorHAnsi" w:hAnsiTheme="majorHAnsi" w:cs="Times New Roman"/>
          <w:szCs w:val="23"/>
        </w:rPr>
        <w:t>The REF is</w:t>
      </w:r>
      <w:r w:rsidR="00463003" w:rsidRPr="00463003">
        <w:rPr>
          <w:rFonts w:asciiTheme="majorHAnsi" w:hAnsiTheme="majorHAnsi" w:cs="Times New Roman"/>
          <w:szCs w:val="23"/>
        </w:rPr>
        <w:t xml:space="preserve"> a mode of examining the health of a sector at a particular moment in time</w:t>
      </w:r>
      <w:r>
        <w:rPr>
          <w:rFonts w:asciiTheme="majorHAnsi" w:hAnsiTheme="majorHAnsi" w:cs="Times New Roman"/>
          <w:szCs w:val="23"/>
        </w:rPr>
        <w:t xml:space="preserve"> and of encouraging self-reflection</w:t>
      </w:r>
      <w:r w:rsidR="009A58E7">
        <w:rPr>
          <w:rFonts w:asciiTheme="majorHAnsi" w:hAnsiTheme="majorHAnsi" w:cs="Times New Roman"/>
          <w:szCs w:val="23"/>
        </w:rPr>
        <w:t xml:space="preserve"> both within and across disciplines. Where </w:t>
      </w:r>
      <w:r w:rsidR="006D3C83">
        <w:rPr>
          <w:rFonts w:asciiTheme="majorHAnsi" w:hAnsiTheme="majorHAnsi" w:cs="Times New Roman"/>
          <w:szCs w:val="23"/>
        </w:rPr>
        <w:t xml:space="preserve">are </w:t>
      </w:r>
      <w:r w:rsidR="009A58E7">
        <w:rPr>
          <w:rFonts w:asciiTheme="majorHAnsi" w:hAnsiTheme="majorHAnsi" w:cs="Times New Roman"/>
          <w:szCs w:val="23"/>
        </w:rPr>
        <w:t xml:space="preserve">the current strengths? What are the emerging areas, and what is under threat? How is the discipline engaging with the wider social and cultural environment? The success of the exercise has rested on a robust system of peer review, involving </w:t>
      </w:r>
      <w:r w:rsidR="004A28BF">
        <w:rPr>
          <w:rFonts w:asciiTheme="majorHAnsi" w:hAnsiTheme="majorHAnsi" w:cs="Times New Roman"/>
          <w:szCs w:val="23"/>
        </w:rPr>
        <w:t xml:space="preserve">considerable effort, and </w:t>
      </w:r>
      <w:r w:rsidR="004C05EA">
        <w:rPr>
          <w:rFonts w:asciiTheme="majorHAnsi" w:hAnsiTheme="majorHAnsi" w:cs="Times New Roman"/>
          <w:szCs w:val="23"/>
        </w:rPr>
        <w:t xml:space="preserve">secure academic judgement, of researchers and research users. </w:t>
      </w:r>
      <w:r w:rsidR="00375ADF">
        <w:rPr>
          <w:rFonts w:asciiTheme="majorHAnsi" w:hAnsiTheme="majorHAnsi" w:cs="Times New Roman"/>
          <w:szCs w:val="23"/>
        </w:rPr>
        <w:t xml:space="preserve">This system now has the confidence of the sector, and its basic principles should be maintained in any new system. </w:t>
      </w:r>
      <w:r w:rsidR="004C05EA">
        <w:rPr>
          <w:rFonts w:asciiTheme="majorHAnsi" w:hAnsiTheme="majorHAnsi" w:cs="Times New Roman"/>
          <w:szCs w:val="23"/>
        </w:rPr>
        <w:t xml:space="preserve">The introduction of the impact </w:t>
      </w:r>
      <w:r w:rsidR="00375ADF">
        <w:rPr>
          <w:rFonts w:asciiTheme="majorHAnsi" w:hAnsiTheme="majorHAnsi" w:cs="Times New Roman"/>
          <w:szCs w:val="23"/>
        </w:rPr>
        <w:t xml:space="preserve">in </w:t>
      </w:r>
      <w:r w:rsidR="004C05EA">
        <w:rPr>
          <w:rFonts w:asciiTheme="majorHAnsi" w:hAnsiTheme="majorHAnsi" w:cs="Times New Roman"/>
          <w:szCs w:val="23"/>
        </w:rPr>
        <w:t xml:space="preserve">agenda in REF 2014 has served to demonstrate that much research in drama and performance areas is outward facing </w:t>
      </w:r>
      <w:r w:rsidR="00375ADF">
        <w:rPr>
          <w:rFonts w:asciiTheme="majorHAnsi" w:hAnsiTheme="majorHAnsi" w:cs="Times New Roman"/>
          <w:szCs w:val="23"/>
        </w:rPr>
        <w:t>and of cultural, social and – at times - economic significance.</w:t>
      </w:r>
    </w:p>
    <w:p w:rsidR="00C13CB9" w:rsidRDefault="00463003" w:rsidP="00375ADF">
      <w:pPr>
        <w:tabs>
          <w:tab w:val="left" w:pos="567"/>
        </w:tabs>
        <w:spacing w:after="288" w:line="240" w:lineRule="auto"/>
        <w:ind w:right="11"/>
        <w:rPr>
          <w:rFonts w:asciiTheme="majorHAnsi" w:hAnsiTheme="majorHAnsi"/>
        </w:rPr>
      </w:pPr>
      <w:r w:rsidRPr="00463003">
        <w:rPr>
          <w:rFonts w:asciiTheme="majorHAnsi" w:hAnsiTheme="majorHAnsi" w:cs="Times New Roman"/>
          <w:szCs w:val="23"/>
        </w:rPr>
        <w:t xml:space="preserve"> It is important to ensure that robust peer review continues as the primary mechanism for evaluating research, informed by concrete, reliable data and other carefully selected indicators. The Green Paper points to the possibility of</w:t>
      </w:r>
      <w:r w:rsidRPr="00463003">
        <w:rPr>
          <w:rFonts w:asciiTheme="majorHAnsi" w:hAnsiTheme="majorHAnsi"/>
        </w:rPr>
        <w:t xml:space="preserve"> </w:t>
      </w:r>
      <w:r w:rsidR="00375ADF">
        <w:rPr>
          <w:rFonts w:asciiTheme="majorHAnsi" w:hAnsiTheme="majorHAnsi"/>
        </w:rPr>
        <w:t>making greater use of metrics (para 73)</w:t>
      </w:r>
      <w:r w:rsidR="00C13CB9">
        <w:rPr>
          <w:rFonts w:asciiTheme="majorHAnsi" w:hAnsiTheme="majorHAnsi"/>
        </w:rPr>
        <w:t xml:space="preserve">, especially ‘in between’ full review. We are not convinced that such metrics can substitute for peer review, and </w:t>
      </w:r>
      <w:r w:rsidR="004A28BF">
        <w:rPr>
          <w:rFonts w:asciiTheme="majorHAnsi" w:hAnsiTheme="majorHAnsi"/>
        </w:rPr>
        <w:t xml:space="preserve">would argue </w:t>
      </w:r>
      <w:r w:rsidR="00C13CB9">
        <w:rPr>
          <w:rFonts w:asciiTheme="majorHAnsi" w:hAnsiTheme="majorHAnsi"/>
        </w:rPr>
        <w:t>that the metrics that have been canvassed so far – journal impact factors, for example –</w:t>
      </w:r>
      <w:r w:rsidR="004A28BF">
        <w:rPr>
          <w:rFonts w:asciiTheme="majorHAnsi" w:hAnsiTheme="majorHAnsi"/>
        </w:rPr>
        <w:t xml:space="preserve"> do not</w:t>
      </w:r>
      <w:r w:rsidR="00C13CB9">
        <w:rPr>
          <w:rFonts w:asciiTheme="majorHAnsi" w:hAnsiTheme="majorHAnsi"/>
        </w:rPr>
        <w:t xml:space="preserve"> apply </w:t>
      </w:r>
      <w:r w:rsidR="004A28BF">
        <w:rPr>
          <w:rFonts w:asciiTheme="majorHAnsi" w:hAnsiTheme="majorHAnsi"/>
        </w:rPr>
        <w:t xml:space="preserve">equally </w:t>
      </w:r>
      <w:r w:rsidR="00C13CB9">
        <w:rPr>
          <w:rFonts w:asciiTheme="majorHAnsi" w:hAnsiTheme="majorHAnsi"/>
        </w:rPr>
        <w:t>to all disciplines. Th</w:t>
      </w:r>
      <w:r w:rsidR="001F0C79">
        <w:rPr>
          <w:rFonts w:asciiTheme="majorHAnsi" w:hAnsiTheme="majorHAnsi"/>
        </w:rPr>
        <w:t xml:space="preserve">e problems are demonstrated in </w:t>
      </w:r>
      <w:r w:rsidR="00C13CB9">
        <w:rPr>
          <w:rFonts w:asciiTheme="majorHAnsi" w:hAnsiTheme="majorHAnsi"/>
        </w:rPr>
        <w:t>a recent report (</w:t>
      </w:r>
      <w:proofErr w:type="spellStart"/>
      <w:r w:rsidR="00C13CB9" w:rsidRPr="00463003">
        <w:rPr>
          <w:rFonts w:asciiTheme="majorHAnsi" w:hAnsiTheme="majorHAnsi"/>
          <w:szCs w:val="21"/>
        </w:rPr>
        <w:t>Wilsdon</w:t>
      </w:r>
      <w:proofErr w:type="spellEnd"/>
      <w:r w:rsidR="00C13CB9" w:rsidRPr="00463003">
        <w:rPr>
          <w:rFonts w:asciiTheme="majorHAnsi" w:hAnsiTheme="majorHAnsi"/>
          <w:szCs w:val="21"/>
        </w:rPr>
        <w:t xml:space="preserve">, J., </w:t>
      </w:r>
      <w:r w:rsidR="00C13CB9" w:rsidRPr="00463003">
        <w:rPr>
          <w:rFonts w:asciiTheme="majorHAnsi" w:hAnsiTheme="majorHAnsi"/>
          <w:i/>
          <w:szCs w:val="21"/>
        </w:rPr>
        <w:t>et al.</w:t>
      </w:r>
      <w:r w:rsidR="00C13CB9" w:rsidRPr="00463003">
        <w:rPr>
          <w:rFonts w:asciiTheme="majorHAnsi" w:hAnsiTheme="majorHAnsi"/>
          <w:szCs w:val="21"/>
        </w:rPr>
        <w:t xml:space="preserve"> 2015. </w:t>
      </w:r>
      <w:r w:rsidR="00C13CB9" w:rsidRPr="00E3441C">
        <w:rPr>
          <w:rFonts w:asciiTheme="majorHAnsi" w:hAnsiTheme="majorHAnsi"/>
          <w:i/>
          <w:szCs w:val="21"/>
        </w:rPr>
        <w:t>The Metric Tide: Report of the Independent Review of the Role of Metrics in Research Assessment and Management</w:t>
      </w:r>
      <w:r w:rsidR="00C13CB9">
        <w:rPr>
          <w:rFonts w:asciiTheme="majorHAnsi" w:hAnsiTheme="majorHAnsi"/>
          <w:szCs w:val="21"/>
        </w:rPr>
        <w:t>. DOI: 0</w:t>
      </w:r>
      <w:r w:rsidR="00C13CB9" w:rsidRPr="00463003">
        <w:rPr>
          <w:rFonts w:asciiTheme="majorHAnsi" w:hAnsiTheme="majorHAnsi"/>
          <w:szCs w:val="21"/>
        </w:rPr>
        <w:t>.13140/RG.2.1.4929.1363)</w:t>
      </w:r>
      <w:r w:rsidR="00C13CB9">
        <w:rPr>
          <w:rFonts w:asciiTheme="majorHAnsi" w:hAnsiTheme="majorHAnsi"/>
          <w:szCs w:val="21"/>
        </w:rPr>
        <w:t xml:space="preserve"> which calls the reliability of many metric indicators into question.</w:t>
      </w:r>
    </w:p>
    <w:p w:rsidR="00E458FA" w:rsidRPr="001F0C79" w:rsidRDefault="00C13CB9" w:rsidP="001F0C79">
      <w:pPr>
        <w:tabs>
          <w:tab w:val="left" w:pos="567"/>
        </w:tabs>
        <w:spacing w:after="288" w:line="240" w:lineRule="auto"/>
        <w:ind w:right="11"/>
        <w:rPr>
          <w:rFonts w:asciiTheme="majorHAnsi" w:hAnsiTheme="majorHAnsi" w:cs="Times New Roman"/>
          <w:szCs w:val="17"/>
        </w:rPr>
      </w:pPr>
      <w:r>
        <w:rPr>
          <w:rFonts w:asciiTheme="majorHAnsi" w:hAnsiTheme="majorHAnsi"/>
          <w:szCs w:val="21"/>
        </w:rPr>
        <w:t xml:space="preserve">One of the main achievements in research in drama and performance over the last three assessment cycles (2001, 2008 and 2014) has been the articulation of research across many and varied forms of output: </w:t>
      </w:r>
      <w:r w:rsidR="00463003" w:rsidRPr="00463003">
        <w:rPr>
          <w:rFonts w:asciiTheme="majorHAnsi" w:hAnsiTheme="majorHAnsi" w:cs="Times New Roman"/>
          <w:szCs w:val="20"/>
        </w:rPr>
        <w:t>patents, digital and broadcast media, performances, designs and exhibitions, and software design as well as text-based outputs.</w:t>
      </w:r>
      <w:r>
        <w:rPr>
          <w:rFonts w:asciiTheme="majorHAnsi" w:hAnsiTheme="majorHAnsi" w:cs="Times New Roman"/>
          <w:szCs w:val="20"/>
        </w:rPr>
        <w:t xml:space="preserve"> Any new system must respect distinct disciplinary practices, and acknowledge that the UK research culture as a whole </w:t>
      </w:r>
      <w:proofErr w:type="gramStart"/>
      <w:r w:rsidR="00D806DF">
        <w:rPr>
          <w:rFonts w:asciiTheme="majorHAnsi" w:hAnsiTheme="majorHAnsi" w:cs="Times New Roman"/>
          <w:szCs w:val="20"/>
        </w:rPr>
        <w:t>benefits</w:t>
      </w:r>
      <w:proofErr w:type="gramEnd"/>
      <w:r>
        <w:rPr>
          <w:rFonts w:asciiTheme="majorHAnsi" w:hAnsiTheme="majorHAnsi" w:cs="Times New Roman"/>
          <w:szCs w:val="20"/>
        </w:rPr>
        <w:t xml:space="preserve"> from this diversity. </w:t>
      </w:r>
      <w:r w:rsidR="00D806DF">
        <w:rPr>
          <w:rFonts w:asciiTheme="majorHAnsi" w:hAnsiTheme="majorHAnsi" w:cs="Times New Roman"/>
          <w:szCs w:val="20"/>
        </w:rPr>
        <w:t xml:space="preserve">It follows from this </w:t>
      </w:r>
      <w:r>
        <w:rPr>
          <w:rFonts w:asciiTheme="majorHAnsi" w:hAnsiTheme="majorHAnsi" w:cs="Times New Roman"/>
          <w:szCs w:val="20"/>
        </w:rPr>
        <w:t>that non-metri</w:t>
      </w:r>
      <w:r w:rsidR="00D806DF">
        <w:rPr>
          <w:rFonts w:asciiTheme="majorHAnsi" w:hAnsiTheme="majorHAnsi" w:cs="Times New Roman"/>
          <w:szCs w:val="20"/>
        </w:rPr>
        <w:t>cal forms of data have an important, indeed crucial, place</w:t>
      </w:r>
      <w:r>
        <w:rPr>
          <w:rFonts w:asciiTheme="majorHAnsi" w:hAnsiTheme="majorHAnsi" w:cs="Times New Roman"/>
          <w:szCs w:val="20"/>
        </w:rPr>
        <w:t>. A recent article (</w:t>
      </w:r>
      <w:proofErr w:type="spellStart"/>
      <w:r w:rsidRPr="00463003">
        <w:rPr>
          <w:rFonts w:asciiTheme="majorHAnsi" w:hAnsiTheme="majorHAnsi"/>
          <w:szCs w:val="21"/>
        </w:rPr>
        <w:t>Thelwell</w:t>
      </w:r>
      <w:proofErr w:type="spellEnd"/>
      <w:r w:rsidRPr="00463003">
        <w:rPr>
          <w:rFonts w:asciiTheme="majorHAnsi" w:hAnsiTheme="majorHAnsi"/>
          <w:szCs w:val="21"/>
        </w:rPr>
        <w:t xml:space="preserve"> and Delgado’s, ‘</w:t>
      </w:r>
      <w:r w:rsidRPr="00463003">
        <w:rPr>
          <w:rFonts w:asciiTheme="majorHAnsi" w:hAnsiTheme="majorHAnsi"/>
        </w:rPr>
        <w:t>Arts and Humanities Research Evaluation: No Metrics Please, Just Data’ (</w:t>
      </w:r>
      <w:r w:rsidRPr="00463003">
        <w:rPr>
          <w:rFonts w:asciiTheme="majorHAnsi" w:hAnsiTheme="majorHAnsi" w:cs="Times New Roman"/>
          <w:i/>
          <w:szCs w:val="20"/>
        </w:rPr>
        <w:t>Journal of Documentation</w:t>
      </w:r>
      <w:r w:rsidRPr="00463003">
        <w:rPr>
          <w:rFonts w:asciiTheme="majorHAnsi" w:hAnsiTheme="majorHAnsi" w:cs="Times New Roman"/>
          <w:szCs w:val="20"/>
        </w:rPr>
        <w:t xml:space="preserve">, Vol. 71, pp. 817 – 833, </w:t>
      </w:r>
      <w:hyperlink r:id="rId14" w:history="1">
        <w:r w:rsidRPr="00463003">
          <w:rPr>
            <w:rStyle w:val="Hyperlink"/>
            <w:rFonts w:asciiTheme="majorHAnsi" w:hAnsiTheme="majorHAnsi" w:cs="Times New Roman"/>
            <w:szCs w:val="20"/>
          </w:rPr>
          <w:t>http://dx.doi.org/10.1108/JD-02-2015-0028</w:t>
        </w:r>
      </w:hyperlink>
      <w:r>
        <w:rPr>
          <w:rFonts w:asciiTheme="majorHAnsi" w:hAnsiTheme="majorHAnsi"/>
        </w:rPr>
        <w:t xml:space="preserve">) draws attention the different forms of data available and makes an explicit case for its deployment </w:t>
      </w:r>
      <w:r w:rsidRPr="00463003">
        <w:rPr>
          <w:rFonts w:asciiTheme="majorHAnsi" w:hAnsiTheme="majorHAnsi" w:cs="Times New Roman"/>
          <w:szCs w:val="17"/>
        </w:rPr>
        <w:t>as evidence in arts and humanities research evaluations rather than systematic metrics.</w:t>
      </w:r>
    </w:p>
    <w:p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27: How would you suggest the burden of REF exercises is reduced?</w:t>
      </w:r>
    </w:p>
    <w:p w:rsidR="00E458FA" w:rsidRPr="00C13CB9" w:rsidRDefault="00C13CB9" w:rsidP="00E458FA">
      <w:pPr>
        <w:tabs>
          <w:tab w:val="left" w:pos="567"/>
        </w:tabs>
        <w:spacing w:after="288" w:line="240" w:lineRule="auto"/>
        <w:ind w:left="142" w:right="11"/>
        <w:rPr>
          <w:rFonts w:asciiTheme="majorHAnsi" w:eastAsia="Times New Roman" w:hAnsiTheme="majorHAnsi" w:cs="Times New Roman"/>
          <w:bCs/>
          <w:iCs/>
          <w:szCs w:val="24"/>
        </w:rPr>
      </w:pPr>
      <w:r>
        <w:rPr>
          <w:rFonts w:asciiTheme="majorHAnsi" w:eastAsia="Times New Roman" w:hAnsiTheme="majorHAnsi" w:cs="Times New Roman"/>
          <w:bCs/>
          <w:iCs/>
          <w:szCs w:val="24"/>
        </w:rPr>
        <w:t>The administrative cost of the REF is relatively low, at just 2.4% of the annual funding distributed. The main costs to academics are spent within institutions, and are partly the result of a degree of ‘game playing’ and jostling for position, given that the reputational and financial stakes are high. It is difficult to see how this can be avoided, although successive governments have tried.</w:t>
      </w:r>
    </w:p>
    <w:p w:rsidR="00E458FA" w:rsidRPr="00E458FA" w:rsidRDefault="00E458FA" w:rsidP="00E458FA">
      <w:pPr>
        <w:tabs>
          <w:tab w:val="left" w:pos="567"/>
        </w:tabs>
        <w:spacing w:after="288" w:line="240" w:lineRule="auto"/>
        <w:ind w:left="142" w:right="11"/>
        <w:rPr>
          <w:rFonts w:eastAsia="Times New Roman" w:cs="Times New Roman"/>
          <w:bCs/>
          <w:iCs/>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p>
    <w:p w:rsidR="00E458FA" w:rsidRPr="00E458FA" w:rsidRDefault="00E458FA" w:rsidP="00E458FA">
      <w:pPr>
        <w:tabs>
          <w:tab w:val="left" w:pos="567"/>
        </w:tabs>
        <w:spacing w:after="288" w:line="240" w:lineRule="auto"/>
        <w:ind w:left="142" w:right="11"/>
        <w:rPr>
          <w:rFonts w:eastAsia="Times New Roman" w:cs="Times New Roman"/>
          <w:bCs/>
          <w:iCs/>
          <w:szCs w:val="24"/>
        </w:rPr>
      </w:pPr>
      <w:r w:rsidRPr="00E458FA">
        <w:rPr>
          <w:rFonts w:eastAsia="Times New Roman" w:cs="Times New Roman"/>
          <w:bCs/>
          <w:iCs/>
          <w:szCs w:val="24"/>
        </w:rPr>
        <w:t xml:space="preserve">Question 28: How could the data infrastructure underpinning research information management be improved? </w:t>
      </w:r>
    </w:p>
    <w:p w:rsidR="00E458FA" w:rsidRPr="00E458FA" w:rsidRDefault="00C13CB9" w:rsidP="00E458FA">
      <w:pPr>
        <w:spacing w:after="288" w:line="240" w:lineRule="auto"/>
        <w:ind w:left="142"/>
        <w:rPr>
          <w:rFonts w:eastAsia="Times New Roman" w:cs="Times New Roman"/>
          <w:szCs w:val="24"/>
        </w:rPr>
      </w:pPr>
      <w:r>
        <w:rPr>
          <w:rFonts w:asciiTheme="majorHAnsi" w:eastAsia="Times New Roman" w:hAnsiTheme="majorHAnsi" w:cs="Times New Roman"/>
          <w:szCs w:val="24"/>
        </w:rPr>
        <w:t>The problems of current data have been discussed above, and both the sources refer</w:t>
      </w:r>
      <w:r w:rsidR="004A28BF">
        <w:rPr>
          <w:rFonts w:asciiTheme="majorHAnsi" w:eastAsia="Times New Roman" w:hAnsiTheme="majorHAnsi" w:cs="Times New Roman"/>
          <w:szCs w:val="24"/>
        </w:rPr>
        <w:t>enced in response to question 26</w:t>
      </w:r>
      <w:r>
        <w:rPr>
          <w:rFonts w:asciiTheme="majorHAnsi" w:eastAsia="Times New Roman" w:hAnsiTheme="majorHAnsi" w:cs="Times New Roman"/>
          <w:szCs w:val="24"/>
        </w:rPr>
        <w:t xml:space="preserve"> contain insights into how the data infrastructure might be improved.</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b/>
          <w:szCs w:val="24"/>
        </w:rPr>
      </w:pPr>
      <w:bookmarkStart w:id="15" w:name="_Toc222902189"/>
      <w:bookmarkStart w:id="16" w:name="_Toc337743660"/>
      <w:bookmarkStart w:id="17" w:name="_Toc426987240"/>
      <w:r w:rsidRPr="00E458FA">
        <w:rPr>
          <w:rFonts w:eastAsia="Times New Roman" w:cs="Times New Roman"/>
          <w:b/>
          <w:szCs w:val="24"/>
        </w:rPr>
        <w:t>Do you have any other comments that might aid the consultation process as a whole?</w:t>
      </w:r>
      <w:bookmarkEnd w:id="15"/>
      <w:bookmarkEnd w:id="16"/>
      <w:bookmarkEnd w:id="17"/>
    </w:p>
    <w:p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use this space for any general comments that you may have, comments on the layout of this consultation would also be welcomed.</w:t>
      </w: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your views on this consultation.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taking the time to let us have your views. We do not intend to acknowledge receipt of individual responses unless you tick the box below. </w:t>
      </w:r>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acknowledge this reply </w:t>
      </w:r>
      <w:sdt>
        <w:sdtPr>
          <w:rPr>
            <w:rFonts w:eastAsia="Times New Roman" w:cs="Times New Roman"/>
            <w:szCs w:val="24"/>
          </w:rPr>
          <w:id w:val="-44844798"/>
          <w14:checkbox>
            <w14:checked w14:val="0"/>
            <w14:checkedState w14:val="2612" w14:font="Yu Gothic UI"/>
            <w14:uncheckedState w14:val="2610" w14:font="Yu Gothic UI"/>
          </w14:checkbox>
        </w:sdtPr>
        <w:sdtContent>
          <w:r w:rsidRPr="00E458FA">
            <w:rPr>
              <w:rFonts w:ascii="MS Gothic" w:eastAsia="MS Gothic" w:hAnsi="MS Gothic" w:cs="MS Gothic" w:hint="eastAsia"/>
              <w:szCs w:val="24"/>
            </w:rPr>
            <w:t>☐</w:t>
          </w:r>
        </w:sdtContent>
      </w:sdt>
    </w:p>
    <w:p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rsidR="00E577FA" w:rsidRDefault="00515757" w:rsidP="00E458FA">
      <w:pPr>
        <w:spacing w:after="288" w:line="240" w:lineRule="auto"/>
        <w:ind w:left="142"/>
        <w:rPr>
          <w:rFonts w:eastAsia="Times New Roman" w:cs="Times New Roman"/>
          <w:szCs w:val="24"/>
        </w:rPr>
      </w:pPr>
      <w:sdt>
        <w:sdtPr>
          <w:rPr>
            <w:rFonts w:eastAsia="Times New Roman" w:cs="Times New Roman"/>
            <w:szCs w:val="24"/>
          </w:rPr>
          <w:id w:val="-924029108"/>
          <w14:checkbox>
            <w14:checked w14:val="0"/>
            <w14:checkedState w14:val="2612" w14:font="Yu Gothic UI"/>
            <w14:uncheckedState w14:val="2610" w14:font="Yu Gothic UI"/>
          </w14:checkbox>
        </w:sdt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Yes    </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932185986"/>
          <w14:checkbox>
            <w14:checked w14:val="0"/>
            <w14:checkedState w14:val="2612" w14:font="Yu Gothic UI"/>
            <w14:uncheckedState w14:val="2610" w14:font="Yu Gothic UI"/>
          </w14:checkbox>
        </w:sdt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w:t>
      </w:r>
    </w:p>
    <w:p w:rsidR="00323663" w:rsidRDefault="00323663" w:rsidP="00E458FA">
      <w:pPr>
        <w:spacing w:after="288" w:line="240" w:lineRule="auto"/>
        <w:ind w:left="142"/>
      </w:pPr>
      <w:r>
        <w:rPr>
          <w:rFonts w:eastAsia="Times New Roman" w:cs="Times New Roman"/>
          <w:b/>
          <w:szCs w:val="24"/>
        </w:rPr>
        <w:t>BIS/15/623/RF</w:t>
      </w:r>
    </w:p>
    <w:sectPr w:rsidR="00323663">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757" w:rsidRDefault="00515757">
      <w:pPr>
        <w:spacing w:after="0" w:line="240" w:lineRule="auto"/>
      </w:pPr>
      <w:r>
        <w:separator/>
      </w:r>
    </w:p>
  </w:endnote>
  <w:endnote w:type="continuationSeparator" w:id="0">
    <w:p w:rsidR="00515757" w:rsidRDefault="00515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mbria">
    <w:altName w:val="Times New Roman"/>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Yu Gothic UI"/>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Default="00515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Default="005157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Default="00515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757" w:rsidRDefault="00515757">
      <w:pPr>
        <w:spacing w:after="0" w:line="240" w:lineRule="auto"/>
      </w:pPr>
      <w:r>
        <w:separator/>
      </w:r>
    </w:p>
  </w:footnote>
  <w:footnote w:type="continuationSeparator" w:id="0">
    <w:p w:rsidR="00515757" w:rsidRDefault="00515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Pr="00A95640" w:rsidRDefault="00515757" w:rsidP="00BE367F">
    <w:pPr>
      <w:pStyle w:val="BISEvenHeader"/>
    </w:pPr>
    <w:r>
      <w:rPr>
        <w:noProof/>
        <w:lang w:eastAsia="en-GB"/>
      </w:rPr>
      <mc:AlternateContent>
        <mc:Choice Requires="wps">
          <w:drawing>
            <wp:anchor distT="0" distB="0" distL="114300" distR="114300" simplePos="0" relativeHeight="251661312" behindDoc="0" locked="0" layoutInCell="1" allowOverlap="1" wp14:anchorId="145CE5C8" wp14:editId="4AE7EB5E">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764C9" id="Line 2"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Pr="00D90412" w:rsidRDefault="00515757" w:rsidP="00BE367F">
    <w:pPr>
      <w:pStyle w:val="BISOddHeader"/>
    </w:pPr>
    <w:r>
      <w:rPr>
        <w:noProof/>
        <w:lang w:eastAsia="en-GB"/>
      </w:rPr>
      <mc:AlternateContent>
        <mc:Choice Requires="wps">
          <w:drawing>
            <wp:anchor distT="0" distB="0" distL="114300" distR="114300" simplePos="0" relativeHeight="251662336" behindDoc="0" locked="0" layoutInCell="1" allowOverlap="1" wp14:anchorId="3E3D5A74" wp14:editId="52C3DDCB">
              <wp:simplePos x="0" y="0"/>
              <wp:positionH relativeFrom="page">
                <wp:posOffset>0</wp:posOffset>
              </wp:positionH>
              <wp:positionV relativeFrom="page">
                <wp:posOffset>431800</wp:posOffset>
              </wp:positionV>
              <wp:extent cx="7560310" cy="0"/>
              <wp:effectExtent l="0" t="0" r="0" b="0"/>
              <wp:wrapTight wrapText="bothSides">
                <wp:wrapPolygon edited="0">
                  <wp:start x="2" y="-2147483648"/>
                  <wp:lineTo x="689" y="-2147483648"/>
                  <wp:lineTo x="689" y="-2147483648"/>
                  <wp:lineTo x="2" y="-2147483648"/>
                  <wp:lineTo x="2" y="-2147483648"/>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825B3" id="Line 31"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rsidR="00515757" w:rsidRPr="003A1E6F" w:rsidRDefault="00515757" w:rsidP="00BE36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757" w:rsidRDefault="005157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4" w15:restartNumberingAfterBreak="0">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4A776AC0"/>
    <w:multiLevelType w:val="hybridMultilevel"/>
    <w:tmpl w:val="0BAC1EAE"/>
    <w:lvl w:ilvl="0" w:tplc="BCD8522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15:restartNumberingAfterBreak="0">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2"/>
  </w:num>
  <w:num w:numId="2">
    <w:abstractNumId w:val="9"/>
  </w:num>
  <w:num w:numId="3">
    <w:abstractNumId w:val="0"/>
  </w:num>
  <w:num w:numId="4">
    <w:abstractNumId w:val="2"/>
  </w:num>
  <w:num w:numId="5">
    <w:abstractNumId w:val="9"/>
  </w:num>
  <w:num w:numId="6">
    <w:abstractNumId w:val="0"/>
  </w:num>
  <w:num w:numId="7">
    <w:abstractNumId w:val="2"/>
  </w:num>
  <w:num w:numId="8">
    <w:abstractNumId w:val="0"/>
  </w:num>
  <w:num w:numId="9">
    <w:abstractNumId w:val="2"/>
  </w:num>
  <w:num w:numId="10">
    <w:abstractNumId w:val="9"/>
  </w:num>
  <w:num w:numId="11">
    <w:abstractNumId w:val="0"/>
  </w:num>
  <w:num w:numId="12">
    <w:abstractNumId w:val="2"/>
  </w:num>
  <w:num w:numId="13">
    <w:abstractNumId w:val="9"/>
  </w:num>
  <w:num w:numId="14">
    <w:abstractNumId w:val="0"/>
  </w:num>
  <w:num w:numId="15">
    <w:abstractNumId w:val="2"/>
  </w:num>
  <w:num w:numId="16">
    <w:abstractNumId w:val="9"/>
  </w:num>
  <w:num w:numId="17">
    <w:abstractNumId w:val="0"/>
  </w:num>
  <w:num w:numId="18">
    <w:abstractNumId w:val="10"/>
  </w:num>
  <w:num w:numId="19">
    <w:abstractNumId w:val="6"/>
  </w:num>
  <w:num w:numId="20">
    <w:abstractNumId w:val="8"/>
  </w:num>
  <w:num w:numId="21">
    <w:abstractNumId w:val="7"/>
  </w:num>
  <w:num w:numId="22">
    <w:abstractNumId w:val="1"/>
  </w:num>
  <w:num w:numId="23">
    <w:abstractNumId w:val="4"/>
  </w:num>
  <w:num w:numId="24">
    <w:abstractNumId w:val="11"/>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07E1D"/>
    <w:rsid w:val="000562DC"/>
    <w:rsid w:val="00060F79"/>
    <w:rsid w:val="000A5693"/>
    <w:rsid w:val="000C12F7"/>
    <w:rsid w:val="000F2BA3"/>
    <w:rsid w:val="00100BF3"/>
    <w:rsid w:val="00105684"/>
    <w:rsid w:val="00125755"/>
    <w:rsid w:val="00145AD9"/>
    <w:rsid w:val="00193065"/>
    <w:rsid w:val="001A54B9"/>
    <w:rsid w:val="001B6D23"/>
    <w:rsid w:val="001E004A"/>
    <w:rsid w:val="001F0C79"/>
    <w:rsid w:val="00200B5A"/>
    <w:rsid w:val="00203D46"/>
    <w:rsid w:val="00244283"/>
    <w:rsid w:val="00257A64"/>
    <w:rsid w:val="003001E5"/>
    <w:rsid w:val="00323663"/>
    <w:rsid w:val="00375ADF"/>
    <w:rsid w:val="00377763"/>
    <w:rsid w:val="0043210B"/>
    <w:rsid w:val="00443E7E"/>
    <w:rsid w:val="00457B1B"/>
    <w:rsid w:val="00463003"/>
    <w:rsid w:val="004A28BF"/>
    <w:rsid w:val="004B35D9"/>
    <w:rsid w:val="004C05EA"/>
    <w:rsid w:val="004D53B8"/>
    <w:rsid w:val="00504C9A"/>
    <w:rsid w:val="00515757"/>
    <w:rsid w:val="005C5065"/>
    <w:rsid w:val="005D5809"/>
    <w:rsid w:val="005E44E7"/>
    <w:rsid w:val="005F5366"/>
    <w:rsid w:val="0067329C"/>
    <w:rsid w:val="0068099D"/>
    <w:rsid w:val="00681925"/>
    <w:rsid w:val="006962A2"/>
    <w:rsid w:val="006C7C6B"/>
    <w:rsid w:val="006D3C83"/>
    <w:rsid w:val="007C2A54"/>
    <w:rsid w:val="007E0255"/>
    <w:rsid w:val="007E0B3F"/>
    <w:rsid w:val="007F048B"/>
    <w:rsid w:val="00834992"/>
    <w:rsid w:val="00852A28"/>
    <w:rsid w:val="008C1D36"/>
    <w:rsid w:val="008D4D4D"/>
    <w:rsid w:val="00912AA4"/>
    <w:rsid w:val="00926115"/>
    <w:rsid w:val="009A58E7"/>
    <w:rsid w:val="009D4343"/>
    <w:rsid w:val="00A432A6"/>
    <w:rsid w:val="00A779DD"/>
    <w:rsid w:val="00A84A27"/>
    <w:rsid w:val="00A96C79"/>
    <w:rsid w:val="00B101CD"/>
    <w:rsid w:val="00B40A23"/>
    <w:rsid w:val="00B40E34"/>
    <w:rsid w:val="00B63929"/>
    <w:rsid w:val="00B734C6"/>
    <w:rsid w:val="00BD4C03"/>
    <w:rsid w:val="00BE367F"/>
    <w:rsid w:val="00C13CB9"/>
    <w:rsid w:val="00C82031"/>
    <w:rsid w:val="00CA56C0"/>
    <w:rsid w:val="00D05C11"/>
    <w:rsid w:val="00D2174B"/>
    <w:rsid w:val="00D52DD5"/>
    <w:rsid w:val="00D55E83"/>
    <w:rsid w:val="00D806DF"/>
    <w:rsid w:val="00DC5464"/>
    <w:rsid w:val="00E25B4B"/>
    <w:rsid w:val="00E3441C"/>
    <w:rsid w:val="00E458FA"/>
    <w:rsid w:val="00E577FA"/>
    <w:rsid w:val="00E623E5"/>
    <w:rsid w:val="00E97B79"/>
    <w:rsid w:val="00EB1A93"/>
    <w:rsid w:val="00F300E6"/>
    <w:rsid w:val="00F316CB"/>
    <w:rsid w:val="00F74F53"/>
    <w:rsid w:val="00F76E3F"/>
    <w:rsid w:val="00F779DF"/>
    <w:rsid w:val="00FB7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699DEA0"/>
  <w15:docId w15:val="{309228D8-AD23-4EE1-B477-B19EE14BC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paragraph" w:customStyle="1" w:styleId="Default">
    <w:name w:val="Default"/>
    <w:rsid w:val="00B40E34"/>
    <w:pPr>
      <w:widowControl w:val="0"/>
      <w:autoSpaceDE w:val="0"/>
      <w:autoSpaceDN w:val="0"/>
      <w:adjustRightInd w:val="0"/>
      <w:spacing w:after="0" w:line="240" w:lineRule="auto"/>
    </w:pPr>
    <w:rPr>
      <w:rFonts w:ascii="Arial" w:hAnsi="Arial" w:cs="Arial"/>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0296752">
      <w:bodyDiv w:val="1"/>
      <w:marLeft w:val="0"/>
      <w:marRight w:val="0"/>
      <w:marTop w:val="0"/>
      <w:marBottom w:val="0"/>
      <w:divBdr>
        <w:top w:val="none" w:sz="0" w:space="0" w:color="auto"/>
        <w:left w:val="none" w:sz="0" w:space="0" w:color="auto"/>
        <w:bottom w:val="none" w:sz="0" w:space="0" w:color="auto"/>
        <w:right w:val="none" w:sz="0" w:space="0" w:color="auto"/>
      </w:divBdr>
      <w:divsChild>
        <w:div w:id="1770082338">
          <w:marLeft w:val="547"/>
          <w:marRight w:val="0"/>
          <w:marTop w:val="0"/>
          <w:marBottom w:val="0"/>
          <w:divBdr>
            <w:top w:val="none" w:sz="0" w:space="0" w:color="auto"/>
            <w:left w:val="none" w:sz="0" w:space="0" w:color="auto"/>
            <w:bottom w:val="none" w:sz="0" w:space="0" w:color="auto"/>
            <w:right w:val="none" w:sz="0" w:space="0" w:color="auto"/>
          </w:divBdr>
        </w:div>
        <w:div w:id="643506850">
          <w:marLeft w:val="547"/>
          <w:marRight w:val="0"/>
          <w:marTop w:val="0"/>
          <w:marBottom w:val="0"/>
          <w:divBdr>
            <w:top w:val="none" w:sz="0" w:space="0" w:color="auto"/>
            <w:left w:val="none" w:sz="0" w:space="0" w:color="auto"/>
            <w:bottom w:val="none" w:sz="0" w:space="0" w:color="auto"/>
            <w:right w:val="none" w:sz="0" w:space="0" w:color="auto"/>
          </w:divBdr>
        </w:div>
        <w:div w:id="606235439">
          <w:marLeft w:val="547"/>
          <w:marRight w:val="0"/>
          <w:marTop w:val="0"/>
          <w:marBottom w:val="0"/>
          <w:divBdr>
            <w:top w:val="none" w:sz="0" w:space="0" w:color="auto"/>
            <w:left w:val="none" w:sz="0" w:space="0" w:color="auto"/>
            <w:bottom w:val="none" w:sz="0" w:space="0" w:color="auto"/>
            <w:right w:val="none" w:sz="0" w:space="0" w:color="auto"/>
          </w:divBdr>
        </w:div>
        <w:div w:id="289482600">
          <w:marLeft w:val="547"/>
          <w:marRight w:val="0"/>
          <w:marTop w:val="0"/>
          <w:marBottom w:val="0"/>
          <w:divBdr>
            <w:top w:val="none" w:sz="0" w:space="0" w:color="auto"/>
            <w:left w:val="none" w:sz="0" w:space="0" w:color="auto"/>
            <w:bottom w:val="none" w:sz="0" w:space="0" w:color="auto"/>
            <w:right w:val="none" w:sz="0" w:space="0" w:color="auto"/>
          </w:divBdr>
        </w:div>
        <w:div w:id="202135487">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heacademy.ac.uk/sites/default/files/creative-graduates-enhancing-teaching-research-links-in-the-creative-arts.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intranet.bis.gov.uk/?attachment_id=16823" TargetMode="External"/><Relationship Id="rId12" Type="http://schemas.openxmlformats.org/officeDocument/2006/relationships/hyperlink" Target="http://www.hepi.ac.uk/wp-content/uploads/2016/01/STRICTLY-EMBARGOED-UNTIL-7-JANUARY-2016-FINAL-GREEN-PAPER-RESPONSE-21_12_15-Screen.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sultation.he@bis.gsi.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gov.uk/government/consultations/higher-education-teaching-excellence-social-mobility-and-student-choic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bisgovuk.citizenspace.com/he/fulfilling-our-potential%20" TargetMode="External"/><Relationship Id="rId14" Type="http://schemas.openxmlformats.org/officeDocument/2006/relationships/hyperlink" Target="http://dx.doi.org/10.1108/JD-02-2015-002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4322</TotalTime>
  <Pages>20</Pages>
  <Words>5937</Words>
  <Characters>33844</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39702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stephen lacey</cp:lastModifiedBy>
  <cp:revision>17</cp:revision>
  <cp:lastPrinted>2015-11-04T18:13:00Z</cp:lastPrinted>
  <dcterms:created xsi:type="dcterms:W3CDTF">2015-11-05T20:28:00Z</dcterms:created>
  <dcterms:modified xsi:type="dcterms:W3CDTF">2016-01-15T11:54:00Z</dcterms:modified>
</cp:coreProperties>
</file>