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D4D5E0" w14:textId="77777777" w:rsidR="00E458FA" w:rsidRPr="00E458FA" w:rsidRDefault="00E458FA" w:rsidP="00A84A27">
      <w:pPr>
        <w:spacing w:after="288" w:line="240" w:lineRule="auto"/>
        <w:ind w:left="142"/>
        <w:jc w:val="both"/>
        <w:rPr>
          <w:rFonts w:eastAsia="Times New Roman" w:cs="Times New Roman"/>
          <w:szCs w:val="24"/>
        </w:rPr>
      </w:pPr>
      <w:r w:rsidRPr="00E458FA">
        <w:rPr>
          <w:rFonts w:ascii="Helvetica" w:eastAsia="Times New Roman" w:hAnsi="Helvetica" w:cs="Helvetica"/>
          <w:noProof/>
          <w:color w:val="2E6DA4"/>
          <w:szCs w:val="24"/>
          <w:lang w:val="en-US"/>
        </w:rPr>
        <w:drawing>
          <wp:inline distT="0" distB="0" distL="0" distR="0" wp14:anchorId="488BB38F" wp14:editId="32744B1E">
            <wp:extent cx="6301740" cy="606834"/>
            <wp:effectExtent l="0" t="0" r="3810" b="3175"/>
            <wp:docPr id="1" name="Picture 1" descr="Colour landscape logo low res jpeg">
              <a:hlinkClick xmlns:a="http://schemas.openxmlformats.org/drawingml/2006/main" r:id="rId7" tooltip="&quot;image-BISLogo-landscapecolour-lowres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 landscape logo low res jpeg">
                      <a:hlinkClick r:id="rId7" tooltip="&quot;image-BISLogo-landscapecolour-lowresjpg&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2968" cy="606952"/>
                    </a:xfrm>
                    <a:prstGeom prst="rect">
                      <a:avLst/>
                    </a:prstGeom>
                    <a:noFill/>
                    <a:ln>
                      <a:noFill/>
                    </a:ln>
                  </pic:spPr>
                </pic:pic>
              </a:graphicData>
            </a:graphic>
          </wp:inline>
        </w:drawing>
      </w:r>
    </w:p>
    <w:p w14:paraId="5A1DA673" w14:textId="77777777" w:rsidR="00E458FA" w:rsidRPr="00E458FA" w:rsidRDefault="00E458FA" w:rsidP="00E458FA">
      <w:pPr>
        <w:keepNext/>
        <w:spacing w:before="120" w:after="240" w:line="240" w:lineRule="auto"/>
        <w:ind w:left="142"/>
        <w:outlineLvl w:val="1"/>
        <w:rPr>
          <w:rFonts w:eastAsia="Times New Roman" w:cs="Times New Roman"/>
          <w:b/>
          <w:bCs/>
          <w:iCs/>
          <w:color w:val="003478"/>
          <w:kern w:val="32"/>
          <w:sz w:val="32"/>
          <w:szCs w:val="28"/>
        </w:rPr>
      </w:pPr>
      <w:bookmarkStart w:id="0" w:name="_Toc434412495"/>
      <w:r w:rsidRPr="00E458FA">
        <w:rPr>
          <w:rFonts w:eastAsia="Times New Roman" w:cs="Times New Roman"/>
          <w:b/>
          <w:bCs/>
          <w:iCs/>
          <w:color w:val="003478"/>
          <w:kern w:val="32"/>
          <w:sz w:val="32"/>
          <w:szCs w:val="28"/>
        </w:rPr>
        <w:t>Fulfilling our Potential: Teaching Excellence, Social Mobility and Student Choice - Consultation</w:t>
      </w:r>
      <w:bookmarkEnd w:id="0"/>
    </w:p>
    <w:p w14:paraId="3E876CD5"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You can reply to this consultation online at: </w:t>
      </w:r>
    </w:p>
    <w:p w14:paraId="6C670629" w14:textId="77777777" w:rsidR="00E458FA" w:rsidRPr="00E458FA" w:rsidRDefault="00397D72" w:rsidP="00E458FA">
      <w:pPr>
        <w:spacing w:after="288" w:line="240" w:lineRule="auto"/>
        <w:ind w:left="142"/>
        <w:rPr>
          <w:rFonts w:eastAsia="Times New Roman" w:cs="Times New Roman"/>
          <w:szCs w:val="24"/>
        </w:rPr>
      </w:pPr>
      <w:hyperlink r:id="rId9" w:history="1">
        <w:r w:rsidR="00E458FA" w:rsidRPr="00E458FA">
          <w:rPr>
            <w:rFonts w:eastAsia="Times New Roman" w:cs="Times New Roman"/>
            <w:color w:val="0000FF"/>
            <w:szCs w:val="24"/>
            <w:u w:val="single"/>
            <w:lang w:val="en"/>
          </w:rPr>
          <w:t>https://bisgovuk.citizenspace.com/he/fulfilling-our-potential</w:t>
        </w:r>
      </w:hyperlink>
      <w:r w:rsidR="00E458FA" w:rsidRPr="00E458FA">
        <w:rPr>
          <w:rFonts w:eastAsia="Times New Roman" w:cs="Times New Roman"/>
          <w:szCs w:val="24"/>
        </w:rPr>
        <w:t xml:space="preserve"> </w:t>
      </w:r>
    </w:p>
    <w:p w14:paraId="47644A7B"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 copy of this response form is available at: </w:t>
      </w:r>
      <w:r w:rsidRPr="00E458FA">
        <w:rPr>
          <w:rFonts w:eastAsia="Times New Roman" w:cs="Times New Roman"/>
          <w:szCs w:val="24"/>
        </w:rPr>
        <w:br/>
      </w:r>
      <w:r w:rsidRPr="00E458FA">
        <w:rPr>
          <w:rFonts w:eastAsia="Times New Roman" w:cs="Times New Roman"/>
          <w:szCs w:val="24"/>
        </w:rPr>
        <w:br/>
      </w:r>
      <w:hyperlink r:id="rId10" w:history="1">
        <w:r w:rsidRPr="00E458FA">
          <w:rPr>
            <w:rFonts w:eastAsia="Times New Roman" w:cs="Times New Roman"/>
            <w:color w:val="0000FF"/>
            <w:szCs w:val="24"/>
            <w:u w:val="single"/>
          </w:rPr>
          <w:t>https://www.gov.uk/government/consultations/higher-education-teaching-excellence-social-mobility-and-student-choice</w:t>
        </w:r>
      </w:hyperlink>
    </w:p>
    <w:p w14:paraId="6D8A26A0"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Department may, in accordance with the Code of Practice on Access to Government Information, make available, on public request, individual responses.</w:t>
      </w:r>
    </w:p>
    <w:p w14:paraId="67F8AF13"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closing date for this consultation is 15/01/2016</w:t>
      </w:r>
    </w:p>
    <w:p w14:paraId="4A615BEB" w14:textId="77777777" w:rsidR="00E458FA" w:rsidRPr="00E458FA" w:rsidRDefault="00E458FA" w:rsidP="00E458FA">
      <w:pPr>
        <w:spacing w:after="0" w:line="240" w:lineRule="auto"/>
        <w:ind w:left="142"/>
        <w:rPr>
          <w:rFonts w:eastAsia="Times New Roman" w:cs="Times New Roman"/>
          <w:szCs w:val="24"/>
        </w:rPr>
      </w:pPr>
    </w:p>
    <w:p w14:paraId="1410356B" w14:textId="12A8D84B"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Name:</w:t>
      </w:r>
      <w:r w:rsidR="00631CAB">
        <w:rPr>
          <w:rFonts w:eastAsia="Times New Roman" w:cs="Times New Roman"/>
          <w:szCs w:val="24"/>
        </w:rPr>
        <w:t xml:space="preserve"> Gordon Sweeney</w:t>
      </w:r>
    </w:p>
    <w:p w14:paraId="4CDE04B0" w14:textId="727E7FF2"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Organisation (if applicable):</w:t>
      </w:r>
      <w:r w:rsidR="00631CAB">
        <w:rPr>
          <w:rFonts w:eastAsia="Times New Roman" w:cs="Times New Roman"/>
          <w:szCs w:val="24"/>
        </w:rPr>
        <w:t xml:space="preserve"> Point Blank Music School</w:t>
      </w:r>
    </w:p>
    <w:p w14:paraId="7C66C454" w14:textId="2699FB69"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Address:</w:t>
      </w:r>
      <w:r w:rsidR="00631CAB">
        <w:rPr>
          <w:rFonts w:eastAsia="Times New Roman" w:cs="Times New Roman"/>
          <w:szCs w:val="24"/>
        </w:rPr>
        <w:t xml:space="preserve"> </w:t>
      </w:r>
      <w:r w:rsidR="00CE3C8F">
        <w:rPr>
          <w:rFonts w:eastAsia="Times New Roman" w:cs="Times New Roman"/>
          <w:szCs w:val="24"/>
        </w:rPr>
        <w:t>23-28 Penn St, London, N1 5DL</w:t>
      </w:r>
    </w:p>
    <w:p w14:paraId="0D86B60B" w14:textId="7523EABD"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 Address:</w:t>
      </w:r>
      <w:r w:rsidR="00631CAB">
        <w:rPr>
          <w:rFonts w:eastAsia="Times New Roman" w:cs="Times New Roman"/>
          <w:szCs w:val="24"/>
        </w:rPr>
        <w:t xml:space="preserve"> </w:t>
      </w:r>
      <w:hyperlink r:id="rId11" w:history="1">
        <w:r w:rsidR="00631CAB" w:rsidRPr="001D5391">
          <w:rPr>
            <w:rStyle w:val="Hyperlink"/>
            <w:rFonts w:eastAsia="Times New Roman" w:cs="Times New Roman"/>
            <w:szCs w:val="24"/>
          </w:rPr>
          <w:t>gordon@pointblanklondon.com</w:t>
        </w:r>
      </w:hyperlink>
      <w:r w:rsidR="00631CAB">
        <w:rPr>
          <w:rFonts w:eastAsia="Times New Roman" w:cs="Times New Roman"/>
          <w:szCs w:val="24"/>
        </w:rPr>
        <w:t xml:space="preserve"> </w:t>
      </w:r>
    </w:p>
    <w:p w14:paraId="04026A4A" w14:textId="77777777" w:rsidR="00E458FA" w:rsidRPr="00E458FA" w:rsidRDefault="00E458FA" w:rsidP="00E458FA">
      <w:pPr>
        <w:spacing w:after="0" w:line="240" w:lineRule="auto"/>
        <w:ind w:left="142"/>
        <w:rPr>
          <w:rFonts w:eastAsia="Times New Roman" w:cs="Times New Roman"/>
          <w:szCs w:val="24"/>
        </w:rPr>
      </w:pPr>
    </w:p>
    <w:p w14:paraId="6BB44563" w14:textId="77777777" w:rsidR="00E458FA" w:rsidRPr="00E458FA" w:rsidRDefault="00E458FA" w:rsidP="00E458FA">
      <w:pPr>
        <w:spacing w:after="0" w:line="240" w:lineRule="auto"/>
        <w:ind w:left="142"/>
        <w:rPr>
          <w:rFonts w:eastAsia="Times New Roman" w:cs="Times New Roman"/>
          <w:szCs w:val="24"/>
        </w:rPr>
      </w:pPr>
    </w:p>
    <w:p w14:paraId="7DD6E31E"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return completed forms to:</w:t>
      </w:r>
    </w:p>
    <w:p w14:paraId="37D3F55A" w14:textId="77777777" w:rsidR="00E458FA" w:rsidRPr="00E458FA" w:rsidRDefault="00E458FA" w:rsidP="00E458FA">
      <w:pPr>
        <w:spacing w:after="0" w:line="240" w:lineRule="auto"/>
        <w:ind w:left="142"/>
        <w:rPr>
          <w:rFonts w:eastAsia="Times New Roman" w:cs="Times New Roman"/>
          <w:szCs w:val="24"/>
        </w:rPr>
      </w:pPr>
    </w:p>
    <w:p w14:paraId="5978567C"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Alison Haines</w:t>
      </w:r>
    </w:p>
    <w:p w14:paraId="789AB640"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Higher Education Directorate</w:t>
      </w:r>
    </w:p>
    <w:p w14:paraId="624EA1F8"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Department for Business, Innovation and Skills</w:t>
      </w:r>
    </w:p>
    <w:p w14:paraId="7DA89682"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Level 1, 2 St Paul’s Place</w:t>
      </w:r>
    </w:p>
    <w:p w14:paraId="47A2FD40"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125 Norfolk Street</w:t>
      </w:r>
    </w:p>
    <w:p w14:paraId="52DA5C30"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Sheffield</w:t>
      </w:r>
    </w:p>
    <w:p w14:paraId="1E0F7269"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S1 2FJ</w:t>
      </w:r>
    </w:p>
    <w:p w14:paraId="51A4D8DF" w14:textId="77777777" w:rsidR="00E458FA" w:rsidRPr="00E458FA" w:rsidRDefault="00E458FA" w:rsidP="00E458FA">
      <w:pPr>
        <w:spacing w:after="0" w:line="240" w:lineRule="auto"/>
        <w:ind w:left="142"/>
        <w:rPr>
          <w:rFonts w:eastAsia="Times New Roman" w:cs="Times New Roman"/>
          <w:szCs w:val="24"/>
        </w:rPr>
      </w:pPr>
    </w:p>
    <w:p w14:paraId="3C20BBBA"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w:t>
      </w:r>
      <w:r w:rsidRPr="00E458FA">
        <w:rPr>
          <w:rFonts w:eastAsia="Times New Roman" w:cs="Times New Roman"/>
          <w:szCs w:val="24"/>
        </w:rPr>
        <w:tab/>
      </w:r>
      <w:hyperlink r:id="rId12" w:history="1">
        <w:r w:rsidR="001A54B9" w:rsidRPr="00CB26FE">
          <w:rPr>
            <w:rStyle w:val="Hyperlink"/>
            <w:rFonts w:eastAsia="Times New Roman" w:cs="Times New Roman"/>
            <w:szCs w:val="24"/>
          </w:rPr>
          <w:t>consultation.he@bis.gsi.gov.uk</w:t>
        </w:r>
      </w:hyperlink>
      <w:r w:rsidR="001A54B9">
        <w:rPr>
          <w:rFonts w:eastAsia="Times New Roman" w:cs="Times New Roman"/>
          <w:szCs w:val="24"/>
        </w:rPr>
        <w:t xml:space="preserve"> </w:t>
      </w:r>
    </w:p>
    <w:p w14:paraId="4ECEAACE" w14:textId="77777777" w:rsidR="00E458FA" w:rsidRPr="00E458FA" w:rsidRDefault="00E458FA" w:rsidP="00E458FA">
      <w:pPr>
        <w:spacing w:after="0" w:line="240" w:lineRule="auto"/>
        <w:ind w:left="142"/>
        <w:rPr>
          <w:rFonts w:eastAsia="Times New Roman" w:cs="Times New Roman"/>
          <w:szCs w:val="24"/>
        </w:rPr>
      </w:pPr>
    </w:p>
    <w:p w14:paraId="697B91AD" w14:textId="77777777" w:rsidR="00E458FA" w:rsidRPr="00E458FA" w:rsidRDefault="00E458FA" w:rsidP="00E458FA">
      <w:pPr>
        <w:spacing w:after="288" w:line="240" w:lineRule="auto"/>
        <w:ind w:left="142"/>
        <w:rPr>
          <w:rFonts w:eastAsia="Times New Roman" w:cs="Times New Roman"/>
          <w:szCs w:val="24"/>
        </w:rPr>
      </w:pPr>
    </w:p>
    <w:p w14:paraId="449088D1" w14:textId="77777777" w:rsidR="00E458FA" w:rsidRPr="00E458FA" w:rsidRDefault="00E458FA" w:rsidP="00E458FA">
      <w:pPr>
        <w:spacing w:after="288" w:line="240" w:lineRule="auto"/>
        <w:ind w:left="142"/>
        <w:rPr>
          <w:rFonts w:eastAsia="Times New Roman" w:cs="Times New Roman"/>
          <w:szCs w:val="24"/>
        </w:rPr>
      </w:pPr>
    </w:p>
    <w:p w14:paraId="77DD9423" w14:textId="77777777" w:rsidR="00E458FA" w:rsidRPr="00E458FA" w:rsidRDefault="00E458FA" w:rsidP="00E458FA">
      <w:pPr>
        <w:spacing w:after="288" w:line="240" w:lineRule="auto"/>
        <w:ind w:left="142"/>
        <w:rPr>
          <w:rFonts w:eastAsia="Times New Roman" w:cs="Times New Roman"/>
          <w:szCs w:val="24"/>
        </w:rPr>
      </w:pPr>
    </w:p>
    <w:p w14:paraId="0A88F73B" w14:textId="77777777" w:rsidR="00A84A27" w:rsidRDefault="00A84A27" w:rsidP="00E458FA">
      <w:pPr>
        <w:spacing w:after="288" w:line="240" w:lineRule="auto"/>
        <w:ind w:left="142"/>
        <w:rPr>
          <w:rFonts w:eastAsia="Times New Roman" w:cs="Times New Roman"/>
          <w:szCs w:val="24"/>
        </w:rPr>
      </w:pPr>
    </w:p>
    <w:p w14:paraId="4381574B"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lastRenderedPageBreak/>
        <w:t xml:space="preserve">Please tick the box that best describes you as a respondent to this consultation. </w:t>
      </w:r>
    </w:p>
    <w:tbl>
      <w:tblPr>
        <w:tblW w:w="3791" w:type="pct"/>
        <w:tblInd w:w="294" w:type="dxa"/>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CellMar>
          <w:left w:w="0" w:type="dxa"/>
          <w:right w:w="0" w:type="dxa"/>
        </w:tblCellMar>
        <w:tblLook w:val="01E0" w:firstRow="1" w:lastRow="1" w:firstColumn="1" w:lastColumn="1" w:noHBand="0" w:noVBand="0"/>
      </w:tblPr>
      <w:tblGrid>
        <w:gridCol w:w="872"/>
        <w:gridCol w:w="5987"/>
      </w:tblGrid>
      <w:tr w:rsidR="00E458FA" w:rsidRPr="00E458FA" w14:paraId="2E855032" w14:textId="77777777" w:rsidTr="00504C64">
        <w:trPr>
          <w:trHeight w:val="227"/>
        </w:trPr>
        <w:tc>
          <w:tcPr>
            <w:tcW w:w="636" w:type="pct"/>
            <w:shd w:val="clear" w:color="auto" w:fill="auto"/>
            <w:tcMar>
              <w:top w:w="113" w:type="dxa"/>
              <w:bottom w:w="113" w:type="dxa"/>
            </w:tcMar>
          </w:tcPr>
          <w:p w14:paraId="53FEAF50" w14:textId="77777777" w:rsidR="00E458FA" w:rsidRPr="00E56478" w:rsidRDefault="00E56478" w:rsidP="00E56478">
            <w:pPr>
              <w:tabs>
                <w:tab w:val="left" w:pos="825"/>
              </w:tabs>
              <w:spacing w:after="0" w:line="240" w:lineRule="auto"/>
              <w:ind w:left="113" w:right="113"/>
              <w:jc w:val="center"/>
              <w:rPr>
                <w:rFonts w:eastAsia="Times New Roman" w:cs="Times New Roman"/>
                <w:b/>
                <w:sz w:val="40"/>
                <w:szCs w:val="40"/>
              </w:rPr>
            </w:pPr>
            <w:r w:rsidRPr="00E56478">
              <w:rPr>
                <w:rFonts w:eastAsia="Times New Roman" w:cs="Times New Roman"/>
                <w:b/>
                <w:sz w:val="40"/>
                <w:szCs w:val="40"/>
              </w:rPr>
              <w:t>X</w:t>
            </w:r>
          </w:p>
        </w:tc>
        <w:tc>
          <w:tcPr>
            <w:tcW w:w="4364" w:type="pct"/>
            <w:shd w:val="clear" w:color="auto" w:fill="auto"/>
            <w:tcMar>
              <w:top w:w="113" w:type="dxa"/>
              <w:bottom w:w="113" w:type="dxa"/>
            </w:tcMar>
          </w:tcPr>
          <w:p w14:paraId="6C986C72"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(with designated courses)</w:t>
            </w:r>
          </w:p>
        </w:tc>
      </w:tr>
      <w:tr w:rsidR="00E458FA" w:rsidRPr="00E458FA" w14:paraId="551B4FD5" w14:textId="77777777" w:rsidTr="00504C64">
        <w:trPr>
          <w:trHeight w:val="227"/>
        </w:trPr>
        <w:tc>
          <w:tcPr>
            <w:tcW w:w="636" w:type="pct"/>
            <w:shd w:val="clear" w:color="auto" w:fill="auto"/>
            <w:tcMar>
              <w:top w:w="113" w:type="dxa"/>
              <w:bottom w:w="113" w:type="dxa"/>
            </w:tcMar>
          </w:tcPr>
          <w:p w14:paraId="4B624E87" w14:textId="77777777"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156B6C02"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(no designated courses)</w:t>
            </w:r>
          </w:p>
        </w:tc>
      </w:tr>
      <w:tr w:rsidR="00E458FA" w:rsidRPr="00E458FA" w14:paraId="35B41DBE" w14:textId="77777777" w:rsidTr="00504C64">
        <w:trPr>
          <w:trHeight w:val="227"/>
        </w:trPr>
        <w:tc>
          <w:tcPr>
            <w:tcW w:w="636" w:type="pct"/>
            <w:shd w:val="clear" w:color="auto" w:fill="auto"/>
            <w:tcMar>
              <w:top w:w="113" w:type="dxa"/>
              <w:bottom w:w="113" w:type="dxa"/>
            </w:tcMar>
          </w:tcPr>
          <w:p w14:paraId="13D286AF" w14:textId="77777777"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E85950F"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Awarding organisation</w:t>
            </w:r>
          </w:p>
        </w:tc>
      </w:tr>
      <w:tr w:rsidR="00E458FA" w:rsidRPr="00E458FA" w14:paraId="4AA6D1CB" w14:textId="77777777" w:rsidTr="00504C64">
        <w:trPr>
          <w:trHeight w:val="227"/>
        </w:trPr>
        <w:tc>
          <w:tcPr>
            <w:tcW w:w="636" w:type="pct"/>
            <w:shd w:val="clear" w:color="auto" w:fill="auto"/>
            <w:tcMar>
              <w:top w:w="113" w:type="dxa"/>
              <w:bottom w:w="113" w:type="dxa"/>
            </w:tcMar>
          </w:tcPr>
          <w:p w14:paraId="59E5CBD4"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5FC95AA2"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Business/Employer</w:t>
            </w:r>
          </w:p>
        </w:tc>
      </w:tr>
      <w:tr w:rsidR="00E458FA" w:rsidRPr="00E458FA" w14:paraId="6C58DEB2" w14:textId="77777777" w:rsidTr="00504C64">
        <w:trPr>
          <w:trHeight w:val="227"/>
        </w:trPr>
        <w:tc>
          <w:tcPr>
            <w:tcW w:w="636" w:type="pct"/>
            <w:shd w:val="clear" w:color="auto" w:fill="auto"/>
            <w:tcMar>
              <w:top w:w="113" w:type="dxa"/>
              <w:bottom w:w="113" w:type="dxa"/>
            </w:tcMar>
          </w:tcPr>
          <w:p w14:paraId="7CCB2385"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181EB029"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Central government</w:t>
            </w:r>
          </w:p>
        </w:tc>
      </w:tr>
      <w:tr w:rsidR="00E458FA" w:rsidRPr="00E458FA" w14:paraId="4195B9E1" w14:textId="77777777" w:rsidTr="00504C64">
        <w:trPr>
          <w:trHeight w:val="227"/>
        </w:trPr>
        <w:tc>
          <w:tcPr>
            <w:tcW w:w="636" w:type="pct"/>
            <w:shd w:val="clear" w:color="auto" w:fill="auto"/>
            <w:tcMar>
              <w:top w:w="113" w:type="dxa"/>
              <w:bottom w:w="113" w:type="dxa"/>
            </w:tcMar>
          </w:tcPr>
          <w:p w14:paraId="28644FA5"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2B5045E2"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Charity or social enterprise</w:t>
            </w:r>
          </w:p>
        </w:tc>
      </w:tr>
      <w:tr w:rsidR="00E458FA" w:rsidRPr="00E458FA" w14:paraId="76CE778C" w14:textId="77777777" w:rsidTr="00504C64">
        <w:trPr>
          <w:trHeight w:val="227"/>
        </w:trPr>
        <w:tc>
          <w:tcPr>
            <w:tcW w:w="636" w:type="pct"/>
            <w:shd w:val="clear" w:color="auto" w:fill="auto"/>
            <w:tcMar>
              <w:top w:w="113" w:type="dxa"/>
              <w:bottom w:w="113" w:type="dxa"/>
            </w:tcMar>
          </w:tcPr>
          <w:p w14:paraId="2808D138"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754F1B12"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Further Education College</w:t>
            </w:r>
          </w:p>
        </w:tc>
      </w:tr>
      <w:tr w:rsidR="00E458FA" w:rsidRPr="00E458FA" w14:paraId="02EAE280" w14:textId="77777777" w:rsidTr="00504C64">
        <w:trPr>
          <w:trHeight w:val="227"/>
        </w:trPr>
        <w:tc>
          <w:tcPr>
            <w:tcW w:w="636" w:type="pct"/>
            <w:shd w:val="clear" w:color="auto" w:fill="auto"/>
            <w:tcMar>
              <w:top w:w="113" w:type="dxa"/>
              <w:bottom w:w="113" w:type="dxa"/>
            </w:tcMar>
          </w:tcPr>
          <w:p w14:paraId="69CD395B"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11E4FE0"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Higher Education Institution</w:t>
            </w:r>
          </w:p>
        </w:tc>
      </w:tr>
      <w:tr w:rsidR="00E458FA" w:rsidRPr="00E458FA" w14:paraId="4CD83E39" w14:textId="77777777" w:rsidTr="00504C64">
        <w:trPr>
          <w:trHeight w:val="227"/>
        </w:trPr>
        <w:tc>
          <w:tcPr>
            <w:tcW w:w="636" w:type="pct"/>
            <w:shd w:val="clear" w:color="auto" w:fill="auto"/>
            <w:tcMar>
              <w:top w:w="113" w:type="dxa"/>
              <w:bottom w:w="113" w:type="dxa"/>
            </w:tcMar>
          </w:tcPr>
          <w:p w14:paraId="07FFFCBB"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28F41B4"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Individual (Please describe any particular relevant interest; parent, student, teaching staff etc.)</w:t>
            </w:r>
          </w:p>
        </w:tc>
      </w:tr>
      <w:tr w:rsidR="00E458FA" w:rsidRPr="00E458FA" w14:paraId="2D187BAE" w14:textId="77777777" w:rsidTr="00504C64">
        <w:trPr>
          <w:trHeight w:val="227"/>
        </w:trPr>
        <w:tc>
          <w:tcPr>
            <w:tcW w:w="636" w:type="pct"/>
            <w:shd w:val="clear" w:color="auto" w:fill="auto"/>
            <w:tcMar>
              <w:top w:w="113" w:type="dxa"/>
              <w:bottom w:w="113" w:type="dxa"/>
            </w:tcMar>
          </w:tcPr>
          <w:p w14:paraId="1ED7FB6B"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5ED50472"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Legal representative</w:t>
            </w:r>
          </w:p>
        </w:tc>
      </w:tr>
      <w:tr w:rsidR="00E458FA" w:rsidRPr="00E458FA" w14:paraId="52F315F9" w14:textId="77777777" w:rsidTr="00504C64">
        <w:trPr>
          <w:trHeight w:val="227"/>
        </w:trPr>
        <w:tc>
          <w:tcPr>
            <w:tcW w:w="636" w:type="pct"/>
            <w:shd w:val="clear" w:color="auto" w:fill="auto"/>
            <w:tcMar>
              <w:top w:w="113" w:type="dxa"/>
              <w:bottom w:w="113" w:type="dxa"/>
            </w:tcMar>
          </w:tcPr>
          <w:p w14:paraId="1F4D9C21"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7F6B5043"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Local Government</w:t>
            </w:r>
          </w:p>
        </w:tc>
      </w:tr>
      <w:tr w:rsidR="00E458FA" w:rsidRPr="00E458FA" w14:paraId="59980FBA" w14:textId="77777777" w:rsidTr="00504C64">
        <w:trPr>
          <w:trHeight w:val="227"/>
        </w:trPr>
        <w:tc>
          <w:tcPr>
            <w:tcW w:w="636" w:type="pct"/>
            <w:shd w:val="clear" w:color="auto" w:fill="auto"/>
            <w:tcMar>
              <w:top w:w="113" w:type="dxa"/>
              <w:bottom w:w="113" w:type="dxa"/>
            </w:tcMar>
          </w:tcPr>
          <w:p w14:paraId="529EC035"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2F40876C"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Professional Body</w:t>
            </w:r>
          </w:p>
        </w:tc>
      </w:tr>
      <w:tr w:rsidR="00E458FA" w:rsidRPr="00E458FA" w14:paraId="16334C37" w14:textId="77777777" w:rsidTr="00504C64">
        <w:trPr>
          <w:trHeight w:val="227"/>
        </w:trPr>
        <w:tc>
          <w:tcPr>
            <w:tcW w:w="636" w:type="pct"/>
            <w:shd w:val="clear" w:color="auto" w:fill="auto"/>
            <w:tcMar>
              <w:top w:w="113" w:type="dxa"/>
              <w:bottom w:w="113" w:type="dxa"/>
            </w:tcMar>
          </w:tcPr>
          <w:p w14:paraId="39A03613"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52475922"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Representative Body</w:t>
            </w:r>
          </w:p>
        </w:tc>
      </w:tr>
      <w:tr w:rsidR="00E458FA" w:rsidRPr="00E458FA" w14:paraId="2B27E525" w14:textId="77777777" w:rsidTr="00504C64">
        <w:trPr>
          <w:trHeight w:val="227"/>
        </w:trPr>
        <w:tc>
          <w:tcPr>
            <w:tcW w:w="636" w:type="pct"/>
            <w:shd w:val="clear" w:color="auto" w:fill="auto"/>
            <w:tcMar>
              <w:top w:w="113" w:type="dxa"/>
              <w:bottom w:w="113" w:type="dxa"/>
            </w:tcMar>
          </w:tcPr>
          <w:p w14:paraId="48FF8BCF"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EA35606"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Research Council</w:t>
            </w:r>
          </w:p>
        </w:tc>
      </w:tr>
      <w:tr w:rsidR="00E458FA" w:rsidRPr="00E458FA" w14:paraId="3F901661" w14:textId="77777777" w:rsidTr="00504C64">
        <w:trPr>
          <w:trHeight w:val="227"/>
        </w:trPr>
        <w:tc>
          <w:tcPr>
            <w:tcW w:w="636" w:type="pct"/>
            <w:shd w:val="clear" w:color="auto" w:fill="auto"/>
            <w:tcMar>
              <w:top w:w="113" w:type="dxa"/>
              <w:bottom w:w="113" w:type="dxa"/>
            </w:tcMar>
          </w:tcPr>
          <w:p w14:paraId="348E826D"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5A2E5C19"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Trade union or staff association</w:t>
            </w:r>
          </w:p>
        </w:tc>
      </w:tr>
      <w:tr w:rsidR="00E458FA" w:rsidRPr="00E458FA" w14:paraId="36CEB374" w14:textId="77777777" w:rsidTr="00504C64">
        <w:trPr>
          <w:trHeight w:val="227"/>
        </w:trPr>
        <w:tc>
          <w:tcPr>
            <w:tcW w:w="636" w:type="pct"/>
            <w:shd w:val="clear" w:color="auto" w:fill="auto"/>
            <w:tcMar>
              <w:top w:w="113" w:type="dxa"/>
              <w:bottom w:w="113" w:type="dxa"/>
            </w:tcMar>
          </w:tcPr>
          <w:p w14:paraId="15B76547"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37B506B2"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Other (please describe)</w:t>
            </w:r>
          </w:p>
        </w:tc>
      </w:tr>
    </w:tbl>
    <w:p w14:paraId="32C74C59" w14:textId="77777777" w:rsidR="00E458FA" w:rsidRPr="00E458FA" w:rsidRDefault="00E458FA" w:rsidP="00E458FA">
      <w:pPr>
        <w:spacing w:after="288" w:line="240" w:lineRule="auto"/>
        <w:ind w:left="142"/>
        <w:rPr>
          <w:rFonts w:eastAsia="Times New Roman" w:cs="Times New Roman"/>
          <w:szCs w:val="24"/>
        </w:rPr>
      </w:pPr>
    </w:p>
    <w:p w14:paraId="22C8B8B1"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 w:name="_Toc434412496"/>
      <w:bookmarkStart w:id="2" w:name="_Toc222902184"/>
      <w:bookmarkStart w:id="3" w:name="_Toc337743655"/>
      <w:bookmarkStart w:id="4" w:name="_Toc426987235"/>
      <w:r w:rsidRPr="00E458FA">
        <w:rPr>
          <w:rFonts w:eastAsia="Times New Roman" w:cs="Times New Roman"/>
          <w:b/>
          <w:bCs/>
          <w:color w:val="009BBB"/>
          <w:sz w:val="26"/>
          <w:szCs w:val="26"/>
        </w:rPr>
        <w:t>Public sector equality duty</w:t>
      </w:r>
      <w:bookmarkEnd w:id="1"/>
    </w:p>
    <w:p w14:paraId="09622749"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1</w:t>
      </w:r>
      <w:bookmarkEnd w:id="2"/>
      <w:bookmarkEnd w:id="3"/>
      <w:bookmarkEnd w:id="4"/>
      <w:r w:rsidRPr="00E458FA">
        <w:rPr>
          <w:rFonts w:eastAsia="Times New Roman" w:cs="Times New Roman"/>
          <w:szCs w:val="24"/>
        </w:rPr>
        <w:t>:</w:t>
      </w:r>
    </w:p>
    <w:p w14:paraId="65440872" w14:textId="77777777" w:rsidR="00C61F99"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potential equality impacts of the proposals and oth</w:t>
      </w:r>
      <w:r w:rsidR="00C61F99">
        <w:rPr>
          <w:rFonts w:eastAsia="Times New Roman" w:cs="Arial"/>
          <w:szCs w:val="24"/>
        </w:rPr>
        <w:t>er plans in this consultation?</w:t>
      </w:r>
      <w:r w:rsidR="00C61F99">
        <w:rPr>
          <w:rFonts w:eastAsia="Times New Roman" w:cs="Arial"/>
          <w:szCs w:val="24"/>
        </w:rPr>
        <w:br/>
      </w:r>
    </w:p>
    <w:p w14:paraId="603429A9" w14:textId="3CD8F2AB" w:rsidR="00415DF8" w:rsidRDefault="00415DF8" w:rsidP="00415DF8">
      <w:pPr>
        <w:tabs>
          <w:tab w:val="left" w:pos="567"/>
        </w:tabs>
        <w:spacing w:after="288" w:line="240" w:lineRule="auto"/>
        <w:ind w:left="502" w:right="11"/>
        <w:rPr>
          <w:rFonts w:eastAsia="Times New Roman" w:cs="Arial"/>
          <w:szCs w:val="24"/>
        </w:rPr>
      </w:pPr>
      <w:r>
        <w:rPr>
          <w:rFonts w:eastAsia="Times New Roman" w:cs="Arial"/>
          <w:szCs w:val="24"/>
        </w:rPr>
        <w:tab/>
        <w:t xml:space="preserve">Alternative Providers play a hugely valuable role in widening participation. They can be very specialist or feel more accessible to students who would not consider an established traditional University. My institution, Point Blank, specialises in electronic music and </w:t>
      </w:r>
      <w:proofErr w:type="spellStart"/>
      <w:r>
        <w:rPr>
          <w:rFonts w:eastAsia="Times New Roman" w:cs="Arial"/>
          <w:szCs w:val="24"/>
        </w:rPr>
        <w:t>DJing</w:t>
      </w:r>
      <w:proofErr w:type="spellEnd"/>
      <w:r>
        <w:rPr>
          <w:rFonts w:eastAsia="Times New Roman" w:cs="Arial"/>
          <w:szCs w:val="24"/>
        </w:rPr>
        <w:t xml:space="preserve"> and has a strong track record of delivering to disadvantaged groups through community projects. Our institution </w:t>
      </w:r>
      <w:r>
        <w:rPr>
          <w:rFonts w:eastAsia="Times New Roman" w:cs="Arial"/>
          <w:szCs w:val="24"/>
        </w:rPr>
        <w:lastRenderedPageBreak/>
        <w:t>does not feel like a traditional and staid institution and our focus on vocational skills and practical applications of music production, taught by a mixture of academics and industry professionals, is highly appealing to large number of students who may not feel comfortable in large lecture halls or the tradition and gravitas associated with an old HEI.</w:t>
      </w:r>
    </w:p>
    <w:p w14:paraId="1589CBDA" w14:textId="01A9E94D" w:rsidR="00E458FA" w:rsidRPr="00E458FA" w:rsidRDefault="00415DF8" w:rsidP="00415DF8">
      <w:pPr>
        <w:tabs>
          <w:tab w:val="left" w:pos="567"/>
        </w:tabs>
        <w:spacing w:after="288" w:line="240" w:lineRule="auto"/>
        <w:ind w:left="502" w:right="11"/>
        <w:rPr>
          <w:rFonts w:eastAsia="Times New Roman" w:cs="Arial"/>
          <w:szCs w:val="24"/>
        </w:rPr>
      </w:pPr>
      <w:r>
        <w:rPr>
          <w:rFonts w:eastAsia="Times New Roman" w:cs="Arial"/>
          <w:szCs w:val="24"/>
        </w:rPr>
        <w:tab/>
        <w:t>The efforts to open up the sector outlined in this paper will go a long way to supporting the priorities of widening participation in HE and increasing engagement with target groups where participation in HE is low.</w:t>
      </w:r>
      <w:r w:rsidR="00E458FA" w:rsidRPr="00E458FA">
        <w:rPr>
          <w:rFonts w:eastAsia="Times New Roman" w:cs="Arial"/>
          <w:szCs w:val="24"/>
        </w:rPr>
        <w:br/>
      </w:r>
    </w:p>
    <w:p w14:paraId="625E23BD" w14:textId="77777777" w:rsidR="00E458FA" w:rsidRPr="00E458FA"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 xml:space="preserve">Are there any equality impacts that we have not considered? </w:t>
      </w:r>
    </w:p>
    <w:p w14:paraId="508DF6AE" w14:textId="30419D16"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5890753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065047"/>
          <w14:checkbox>
            <w14:checked w14:val="1"/>
            <w14:checkedState w14:val="2612" w14:font="MS Gothic"/>
            <w14:uncheckedState w14:val="2610" w14:font="MS Gothic"/>
          </w14:checkbox>
        </w:sdtPr>
        <w:sdtEndPr/>
        <w:sdtContent>
          <w:r w:rsidR="00415DF8">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37714743"/>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713D5610"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provide any further relevant evidence.</w:t>
      </w:r>
    </w:p>
    <w:p w14:paraId="591B9062" w14:textId="77777777" w:rsidR="00E458FA" w:rsidRPr="00E458FA" w:rsidRDefault="00E458FA" w:rsidP="00E458FA">
      <w:pPr>
        <w:tabs>
          <w:tab w:val="left" w:pos="567"/>
        </w:tabs>
        <w:spacing w:after="288" w:line="240" w:lineRule="auto"/>
        <w:ind w:left="142" w:right="11"/>
        <w:rPr>
          <w:rFonts w:eastAsia="Times New Roman" w:cs="Arial"/>
          <w:b/>
          <w:i/>
          <w:color w:val="4F81BD" w:themeColor="accent1"/>
          <w:szCs w:val="24"/>
        </w:rPr>
      </w:pPr>
    </w:p>
    <w:p w14:paraId="117EE116" w14:textId="77777777" w:rsidR="00E458FA" w:rsidRPr="00E458FA" w:rsidRDefault="00E458FA" w:rsidP="00E458FA">
      <w:pPr>
        <w:spacing w:after="288" w:line="240" w:lineRule="auto"/>
        <w:ind w:left="142"/>
        <w:rPr>
          <w:rFonts w:eastAsiaTheme="majorEastAsia" w:cs="Times New Roman"/>
          <w:szCs w:val="24"/>
        </w:rPr>
      </w:pPr>
      <w:bookmarkStart w:id="5" w:name="_Toc222902185"/>
      <w:bookmarkStart w:id="6" w:name="_Toc337743656"/>
      <w:bookmarkStart w:id="7" w:name="_Toc426987236"/>
    </w:p>
    <w:p w14:paraId="4B8DC888" w14:textId="77777777" w:rsidR="00E458FA" w:rsidRPr="00E458FA" w:rsidRDefault="00E458FA" w:rsidP="00E458FA">
      <w:pPr>
        <w:spacing w:after="288" w:line="240" w:lineRule="auto"/>
        <w:ind w:left="142"/>
        <w:rPr>
          <w:rFonts w:eastAsiaTheme="majorEastAsia" w:cs="Times New Roman"/>
          <w:szCs w:val="24"/>
        </w:rPr>
      </w:pPr>
    </w:p>
    <w:p w14:paraId="1952E472" w14:textId="77777777"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8" w:name="_Toc434412497"/>
      <w:r w:rsidRPr="00E458FA">
        <w:rPr>
          <w:rFonts w:eastAsia="Times New Roman" w:cs="Times New Roman"/>
          <w:b/>
          <w:bCs/>
          <w:color w:val="009BBB"/>
          <w:sz w:val="26"/>
          <w:szCs w:val="26"/>
        </w:rPr>
        <w:t>Teaching Excellence Framework (TEF) (Part A: Chapters 1-3)</w:t>
      </w:r>
      <w:bookmarkEnd w:id="8"/>
    </w:p>
    <w:bookmarkEnd w:id="5"/>
    <w:bookmarkEnd w:id="6"/>
    <w:bookmarkEnd w:id="7"/>
    <w:p w14:paraId="1C12B77E"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2: How can information from the TEF be used to better inform student and employer decision making? Please quantify these benefits as far as you can.</w:t>
      </w:r>
    </w:p>
    <w:p w14:paraId="15161A98" w14:textId="53BA2DEB" w:rsidR="00E458FA" w:rsidRDefault="00875744" w:rsidP="00E458FA">
      <w:pPr>
        <w:tabs>
          <w:tab w:val="left" w:pos="567"/>
        </w:tabs>
        <w:spacing w:after="288" w:line="240" w:lineRule="auto"/>
        <w:ind w:left="142" w:right="11"/>
        <w:rPr>
          <w:rFonts w:eastAsia="Times New Roman" w:cs="Arial"/>
          <w:szCs w:val="24"/>
        </w:rPr>
      </w:pPr>
      <w:r>
        <w:rPr>
          <w:rFonts w:eastAsia="Times New Roman" w:cs="Arial"/>
          <w:szCs w:val="24"/>
        </w:rPr>
        <w:t xml:space="preserve">It is vital for students to feel that they have value for money from their degrees. This is even more important since the </w:t>
      </w:r>
      <w:r w:rsidR="003E666D">
        <w:rPr>
          <w:rFonts w:eastAsia="Times New Roman" w:cs="Arial"/>
          <w:szCs w:val="24"/>
        </w:rPr>
        <w:t>rise in tuition fees and as many HEIs would like to raise fees, at the very least in line with inflation, it is imperative that students do not feel like they are getting ripped off.</w:t>
      </w:r>
    </w:p>
    <w:p w14:paraId="47E9143C" w14:textId="77847457" w:rsidR="003E666D" w:rsidRDefault="003E666D" w:rsidP="00E458FA">
      <w:pPr>
        <w:tabs>
          <w:tab w:val="left" w:pos="567"/>
        </w:tabs>
        <w:spacing w:after="288" w:line="240" w:lineRule="auto"/>
        <w:ind w:left="142" w:right="11"/>
        <w:rPr>
          <w:rFonts w:eastAsia="Times New Roman" w:cs="Arial"/>
          <w:szCs w:val="24"/>
        </w:rPr>
      </w:pPr>
      <w:r>
        <w:rPr>
          <w:rFonts w:eastAsia="Times New Roman" w:cs="Arial"/>
          <w:szCs w:val="24"/>
        </w:rPr>
        <w:t>Equally any method of reporting information to students needs to be robust, accurate and avoid potential ‘gaming’ by HEIs eager to mislead students for financial gain or better league table placing.</w:t>
      </w:r>
    </w:p>
    <w:p w14:paraId="2F70354D" w14:textId="32AF9457" w:rsidR="003E666D" w:rsidRDefault="003E666D" w:rsidP="00E458FA">
      <w:pPr>
        <w:tabs>
          <w:tab w:val="left" w:pos="567"/>
        </w:tabs>
        <w:spacing w:after="288" w:line="240" w:lineRule="auto"/>
        <w:ind w:left="142" w:right="11"/>
        <w:rPr>
          <w:rFonts w:eastAsia="Times New Roman" w:cs="Arial"/>
          <w:szCs w:val="24"/>
        </w:rPr>
      </w:pPr>
      <w:r>
        <w:rPr>
          <w:rFonts w:eastAsia="Times New Roman" w:cs="Arial"/>
          <w:szCs w:val="24"/>
        </w:rPr>
        <w:t xml:space="preserve">Mechanisms like </w:t>
      </w:r>
      <w:proofErr w:type="spellStart"/>
      <w:r>
        <w:rPr>
          <w:rFonts w:eastAsia="Times New Roman" w:cs="Arial"/>
          <w:szCs w:val="24"/>
        </w:rPr>
        <w:t>Unistats</w:t>
      </w:r>
      <w:proofErr w:type="spellEnd"/>
      <w:r>
        <w:rPr>
          <w:rFonts w:eastAsia="Times New Roman" w:cs="Arial"/>
          <w:szCs w:val="24"/>
        </w:rPr>
        <w:t xml:space="preserve"> can be used to publish TEF data relevant to students, such as contact hours, class sizes and student satisfaction, although the place where this information is communicated needs to somewhere that students are likely to actually visit. The information could also form part of the current HEFCE register or a new site with an overall league table communicating this information could be created and marketed to students.</w:t>
      </w:r>
    </w:p>
    <w:p w14:paraId="7EB9A303" w14:textId="14DA96F7" w:rsidR="003E666D" w:rsidRDefault="003E666D" w:rsidP="00E458FA">
      <w:pPr>
        <w:tabs>
          <w:tab w:val="left" w:pos="567"/>
        </w:tabs>
        <w:spacing w:after="288" w:line="240" w:lineRule="auto"/>
        <w:ind w:left="142" w:right="11"/>
        <w:rPr>
          <w:rFonts w:eastAsia="Times New Roman" w:cs="Arial"/>
          <w:szCs w:val="24"/>
        </w:rPr>
      </w:pPr>
      <w:r>
        <w:rPr>
          <w:rFonts w:eastAsia="Times New Roman" w:cs="Arial"/>
          <w:szCs w:val="24"/>
        </w:rPr>
        <w:t>The metrics used will also need to be accurate to all areas of the sector, HEIs and APs.</w:t>
      </w:r>
    </w:p>
    <w:p w14:paraId="6F537218" w14:textId="77777777" w:rsidR="003E666D" w:rsidRPr="00E458FA" w:rsidRDefault="003E666D" w:rsidP="00E458FA">
      <w:pPr>
        <w:tabs>
          <w:tab w:val="left" w:pos="567"/>
        </w:tabs>
        <w:spacing w:after="288" w:line="240" w:lineRule="auto"/>
        <w:ind w:left="142" w:right="11"/>
        <w:rPr>
          <w:rFonts w:eastAsia="Times New Roman" w:cs="Arial"/>
          <w:szCs w:val="24"/>
        </w:rPr>
      </w:pPr>
    </w:p>
    <w:p w14:paraId="0C06E714" w14:textId="77777777" w:rsidR="00E458FA" w:rsidRPr="00E458FA" w:rsidRDefault="00E458FA" w:rsidP="00E458FA">
      <w:pPr>
        <w:tabs>
          <w:tab w:val="left" w:pos="567"/>
        </w:tabs>
        <w:spacing w:after="288" w:line="240" w:lineRule="auto"/>
        <w:ind w:right="11"/>
        <w:rPr>
          <w:rFonts w:eastAsia="Times New Roman" w:cs="Arial"/>
          <w:szCs w:val="24"/>
        </w:rPr>
      </w:pPr>
    </w:p>
    <w:p w14:paraId="7FDBA408" w14:textId="77777777" w:rsidR="00E458FA" w:rsidRPr="00E458FA" w:rsidRDefault="00E458FA" w:rsidP="00E458FA">
      <w:pPr>
        <w:tabs>
          <w:tab w:val="left" w:pos="567"/>
        </w:tabs>
        <w:spacing w:after="288" w:line="240" w:lineRule="auto"/>
        <w:ind w:left="142" w:right="11"/>
        <w:rPr>
          <w:rFonts w:eastAsia="Times New Roman" w:cs="Arial"/>
          <w:szCs w:val="24"/>
        </w:rPr>
      </w:pPr>
    </w:p>
    <w:p w14:paraId="2830C8D5"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3: Do you agree that the ambition for TEF should be that it is open to all HE </w:t>
      </w:r>
      <w:r w:rsidRPr="00E458FA">
        <w:rPr>
          <w:rFonts w:eastAsia="Times New Roman" w:cs="Times New Roman"/>
          <w:szCs w:val="24"/>
        </w:rPr>
        <w:t>providers, all disciplines,</w:t>
      </w:r>
      <w:r w:rsidRPr="00E458FA">
        <w:rPr>
          <w:rFonts w:eastAsia="Times New Roman" w:cs="Arial"/>
          <w:szCs w:val="24"/>
        </w:rPr>
        <w:t xml:space="preserve"> all modes of delivery and all levels?  </w:t>
      </w:r>
    </w:p>
    <w:p w14:paraId="72956C04" w14:textId="614E2DEC"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29299826"/>
          <w14:checkbox>
            <w14:checked w14:val="1"/>
            <w14:checkedState w14:val="2612" w14:font="MS Gothic"/>
            <w14:uncheckedState w14:val="2610" w14:font="MS Gothic"/>
          </w14:checkbox>
        </w:sdtPr>
        <w:sdtEndPr/>
        <w:sdtContent>
          <w:r w:rsidR="00E374D8">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48598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0339207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695DD115"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answers.</w:t>
      </w:r>
    </w:p>
    <w:p w14:paraId="4F2B07BE" w14:textId="14002DFE" w:rsidR="00E458FA" w:rsidRDefault="00E374D8" w:rsidP="00E458FA">
      <w:pPr>
        <w:tabs>
          <w:tab w:val="left" w:pos="567"/>
        </w:tabs>
        <w:spacing w:after="288" w:line="240" w:lineRule="auto"/>
        <w:ind w:left="142" w:right="11"/>
        <w:rPr>
          <w:rFonts w:eastAsia="Times New Roman" w:cs="Arial"/>
          <w:szCs w:val="24"/>
        </w:rPr>
      </w:pPr>
      <w:r>
        <w:rPr>
          <w:rFonts w:eastAsia="Times New Roman" w:cs="Arial"/>
          <w:szCs w:val="24"/>
        </w:rPr>
        <w:t xml:space="preserve">The TEF should be open to all HE providers and involvement should be a pre-requisite, as should quality reviews. If level one of the TEF was linked to a QAA review, then this would assure that all quality assured organisations would achieve a TEF level one. By opening up the sector there is the danger of more problems similar to the ones experience between 2011 </w:t>
      </w:r>
      <w:r w:rsidR="003F55A1">
        <w:rPr>
          <w:rFonts w:eastAsia="Times New Roman" w:cs="Arial"/>
          <w:szCs w:val="24"/>
        </w:rPr>
        <w:t xml:space="preserve">and 2015, </w:t>
      </w:r>
      <w:r>
        <w:rPr>
          <w:rFonts w:eastAsia="Times New Roman" w:cs="Arial"/>
          <w:szCs w:val="24"/>
        </w:rPr>
        <w:t>where unscrupulous Alternative Providers enter the market to deliver HNDs or other level 4+5 qualifications</w:t>
      </w:r>
      <w:r w:rsidR="003F55A1">
        <w:rPr>
          <w:rFonts w:eastAsia="Times New Roman" w:cs="Arial"/>
          <w:szCs w:val="24"/>
        </w:rPr>
        <w:t xml:space="preserve"> without seeking course designation and being subject to a QAA review</w:t>
      </w:r>
      <w:r>
        <w:rPr>
          <w:rFonts w:eastAsia="Times New Roman" w:cs="Arial"/>
          <w:szCs w:val="24"/>
        </w:rPr>
        <w:t>. If the TEF formed one part of a basic ‘license to operate’ in the HE sector, then it would help mediate against dodgy entrants who could bring the sector into disrepute.</w:t>
      </w:r>
      <w:r w:rsidR="00F92AC4">
        <w:rPr>
          <w:rFonts w:eastAsia="Times New Roman" w:cs="Arial"/>
          <w:szCs w:val="24"/>
        </w:rPr>
        <w:t xml:space="preserve"> For brand new entrants with no record of delivering programmes and no teaching taking place to assess then a basic QAA ‘institutional approval’ could be used to start teaching with a provisional TEF level 1 based on teaching staff and quality plans.</w:t>
      </w:r>
      <w:r w:rsidR="003F55A1">
        <w:rPr>
          <w:rFonts w:eastAsia="Times New Roman" w:cs="Arial"/>
          <w:szCs w:val="24"/>
        </w:rPr>
        <w:t xml:space="preserve"> A ‘license to operate’ would avoid commercial businesses, such as Pearson, providing Quality Assurance within the HE sector. This has clearly not worked, as evidenced through the NAO report.</w:t>
      </w:r>
    </w:p>
    <w:p w14:paraId="70CAF9B8" w14:textId="65F11661" w:rsidR="005B2C94" w:rsidRDefault="00F92AC4" w:rsidP="003F55A1">
      <w:pPr>
        <w:tabs>
          <w:tab w:val="left" w:pos="567"/>
        </w:tabs>
        <w:spacing w:after="288" w:line="240" w:lineRule="auto"/>
        <w:ind w:left="142" w:right="11"/>
        <w:rPr>
          <w:rFonts w:eastAsia="Times New Roman" w:cs="Arial"/>
          <w:szCs w:val="24"/>
        </w:rPr>
      </w:pPr>
      <w:r>
        <w:rPr>
          <w:rFonts w:eastAsia="Times New Roman" w:cs="Arial"/>
          <w:szCs w:val="24"/>
        </w:rPr>
        <w:t>Once the basic license to operate is in place it is essential that all levels of the TEF are accessible to all HE providers</w:t>
      </w:r>
      <w:r w:rsidR="002C3E5A">
        <w:rPr>
          <w:rFonts w:eastAsia="Times New Roman" w:cs="Arial"/>
          <w:szCs w:val="24"/>
        </w:rPr>
        <w:t>. In order to create a level playing field the top level of the TEF needs to be something attainable by all. As APs in general have a much smaller focus on research it is important that academic staff’s research output is not used as a metric to the TEF score.</w:t>
      </w:r>
    </w:p>
    <w:p w14:paraId="6CF46E6A" w14:textId="77777777" w:rsidR="003F55A1" w:rsidRPr="005B2C94" w:rsidRDefault="003F55A1" w:rsidP="003F55A1">
      <w:pPr>
        <w:tabs>
          <w:tab w:val="left" w:pos="567"/>
        </w:tabs>
        <w:spacing w:after="288" w:line="240" w:lineRule="auto"/>
        <w:ind w:left="142" w:right="11"/>
        <w:rPr>
          <w:rFonts w:eastAsia="Times New Roman" w:cs="Arial"/>
          <w:szCs w:val="24"/>
        </w:rPr>
      </w:pPr>
    </w:p>
    <w:p w14:paraId="222BA3C1"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4: Where relevant, should an approved Access Agreement be a pre-requisite for a TEF award? What other mechanism might be used for different types of providers?</w:t>
      </w:r>
    </w:p>
    <w:p w14:paraId="7F35DEFA" w14:textId="467DEE07" w:rsidR="00E458FA" w:rsidRDefault="005B2C94" w:rsidP="00E458FA">
      <w:pPr>
        <w:tabs>
          <w:tab w:val="left" w:pos="567"/>
        </w:tabs>
        <w:spacing w:after="288" w:line="240" w:lineRule="auto"/>
        <w:ind w:left="142" w:right="11"/>
        <w:rPr>
          <w:rFonts w:eastAsia="Times New Roman" w:cs="Arial"/>
          <w:szCs w:val="24"/>
        </w:rPr>
      </w:pPr>
      <w:r>
        <w:rPr>
          <w:rFonts w:eastAsia="Times New Roman" w:cs="Arial"/>
          <w:szCs w:val="24"/>
        </w:rPr>
        <w:t xml:space="preserve">Signing an Access Agreement would disadvantage private institutions who are not seeking course designation or public funding. It would also any APs who plan to stick to a fee cap of £6000 with the ability to charge more for their courses. </w:t>
      </w:r>
    </w:p>
    <w:p w14:paraId="68216B37" w14:textId="1A9AC773" w:rsidR="005B2C94" w:rsidRDefault="005B2C94" w:rsidP="00E458FA">
      <w:pPr>
        <w:tabs>
          <w:tab w:val="left" w:pos="567"/>
        </w:tabs>
        <w:spacing w:after="288" w:line="240" w:lineRule="auto"/>
        <w:ind w:left="142" w:right="11"/>
        <w:rPr>
          <w:rFonts w:eastAsia="Times New Roman" w:cs="Arial"/>
          <w:szCs w:val="24"/>
        </w:rPr>
      </w:pPr>
      <w:r>
        <w:rPr>
          <w:rFonts w:eastAsia="Times New Roman" w:cs="Arial"/>
          <w:szCs w:val="24"/>
        </w:rPr>
        <w:t>If an institution is not claiming any money from the public purse it is unfair to ask them to sign up to an Access Agreement or use this metric to inform a TEF score. Although bursaries can be offered to a small number of students each year this will always be a minority and private APs are businesses, not supported by the government, who cannot focus on increasing engagement with disadvantaged students</w:t>
      </w:r>
      <w:r w:rsidR="00E5497A">
        <w:rPr>
          <w:rFonts w:eastAsia="Times New Roman" w:cs="Arial"/>
          <w:szCs w:val="24"/>
        </w:rPr>
        <w:t>.</w:t>
      </w:r>
    </w:p>
    <w:p w14:paraId="3EE251C8" w14:textId="074EEE4D" w:rsidR="00E5497A" w:rsidRPr="00E458FA" w:rsidRDefault="00E5497A" w:rsidP="00E458FA">
      <w:pPr>
        <w:tabs>
          <w:tab w:val="left" w:pos="567"/>
        </w:tabs>
        <w:spacing w:after="288" w:line="240" w:lineRule="auto"/>
        <w:ind w:left="142" w:right="11"/>
        <w:rPr>
          <w:rFonts w:eastAsia="Times New Roman" w:cs="Arial"/>
          <w:szCs w:val="24"/>
        </w:rPr>
      </w:pPr>
      <w:r>
        <w:rPr>
          <w:rFonts w:eastAsia="Times New Roman" w:cs="Arial"/>
          <w:szCs w:val="24"/>
        </w:rPr>
        <w:lastRenderedPageBreak/>
        <w:t>The TEF should purely focus on assessing great teaching and access to this for the student body currently taking the course. Widening participation is a different issue and should be disengaged from the measurement of how good teaching is and how many contact hours a student gets at an institution.</w:t>
      </w:r>
    </w:p>
    <w:p w14:paraId="50B8220B" w14:textId="77777777" w:rsidR="00E458FA" w:rsidRPr="00E458FA" w:rsidRDefault="00E458FA" w:rsidP="00E458FA">
      <w:pPr>
        <w:tabs>
          <w:tab w:val="left" w:pos="567"/>
        </w:tabs>
        <w:spacing w:after="288" w:line="240" w:lineRule="auto"/>
        <w:ind w:left="142" w:right="11"/>
        <w:rPr>
          <w:rFonts w:eastAsia="Times New Roman" w:cs="Arial"/>
          <w:szCs w:val="24"/>
        </w:rPr>
      </w:pPr>
    </w:p>
    <w:p w14:paraId="42FED856" w14:textId="77777777" w:rsidR="00E458FA" w:rsidRPr="00E458FA" w:rsidRDefault="00E458FA" w:rsidP="00E458FA">
      <w:pPr>
        <w:spacing w:after="288" w:line="240" w:lineRule="auto"/>
        <w:ind w:left="142"/>
        <w:rPr>
          <w:rFonts w:eastAsia="Times New Roman" w:cs="Arial"/>
          <w:szCs w:val="24"/>
        </w:rPr>
      </w:pPr>
      <w:r w:rsidRPr="00E458FA">
        <w:rPr>
          <w:rFonts w:eastAsia="Times New Roman" w:cs="Arial"/>
          <w:szCs w:val="24"/>
        </w:rPr>
        <w:t>Question 5: Do you agree with the proposals on:</w:t>
      </w:r>
    </w:p>
    <w:p w14:paraId="45BE3B00" w14:textId="77777777"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what would constitute a ‘successful’ QA review</w:t>
      </w:r>
    </w:p>
    <w:p w14:paraId="2DEA4E16" w14:textId="2F3CDAA2"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50312694"/>
          <w14:checkbox>
            <w14:checked w14:val="1"/>
            <w14:checkedState w14:val="2612" w14:font="MS Gothic"/>
            <w14:uncheckedState w14:val="2610" w14:font="MS Gothic"/>
          </w14:checkbox>
        </w:sdtPr>
        <w:sdtEndPr/>
        <w:sdtContent>
          <w:r w:rsidR="003C3399">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81915664"/>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899519437"/>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10C268BA" w14:textId="77777777"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 xml:space="preserve"> the incentives that should be open to alternative providers for the first year of the TEF</w:t>
      </w:r>
      <w:r w:rsidRPr="00E458FA">
        <w:rPr>
          <w:rFonts w:eastAsia="Times New Roman" w:cs="Times New Roman"/>
          <w:szCs w:val="24"/>
        </w:rPr>
        <w:t xml:space="preserve">  </w:t>
      </w:r>
    </w:p>
    <w:p w14:paraId="0D386D08" w14:textId="24A43BE5" w:rsidR="00E458FA" w:rsidRPr="00E458FA" w:rsidRDefault="00E458FA" w:rsidP="00E458FA">
      <w:pPr>
        <w:tabs>
          <w:tab w:val="left" w:pos="567"/>
        </w:tabs>
        <w:ind w:left="142" w:right="11"/>
        <w:rPr>
          <w:rFonts w:eastAsia="Times New Roman" w:cs="Times New Roman"/>
          <w:bCs/>
          <w:iCs/>
          <w:szCs w:val="24"/>
        </w:rPr>
      </w:pPr>
      <w:r w:rsidRPr="00E458FA">
        <w:rPr>
          <w:rFonts w:eastAsia="Times New Roman" w:cs="Times New Roman"/>
          <w:szCs w:val="24"/>
        </w:rPr>
        <w:t xml:space="preserve">      </w:t>
      </w:r>
      <w:sdt>
        <w:sdtPr>
          <w:rPr>
            <w:rFonts w:ascii="MS Gothic" w:eastAsia="MS Gothic" w:hAnsi="MS Gothic" w:cs="Times New Roman"/>
            <w:szCs w:val="24"/>
          </w:rPr>
          <w:id w:val="-1967105991"/>
          <w14:checkbox>
            <w14:checked w14:val="1"/>
            <w14:checkedState w14:val="2612" w14:font="MS Gothic"/>
            <w14:uncheckedState w14:val="2610" w14:font="MS Gothic"/>
          </w14:checkbox>
        </w:sdtPr>
        <w:sdtEndPr/>
        <w:sdtContent>
          <w:r w:rsidR="003C3399">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26498302"/>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92709897"/>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48BB8DFE" w14:textId="77777777"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 xml:space="preserve">the proposal to move to differentiated levels of TEF from year two? </w:t>
      </w:r>
    </w:p>
    <w:p w14:paraId="5E432B0E" w14:textId="0F60928C" w:rsidR="00E458FA" w:rsidRPr="00E458FA" w:rsidRDefault="00E458FA" w:rsidP="00E458FA">
      <w:pPr>
        <w:tabs>
          <w:tab w:val="left" w:pos="567"/>
        </w:tabs>
        <w:spacing w:after="288" w:line="240" w:lineRule="auto"/>
        <w:ind w:left="142"/>
        <w:rPr>
          <w:rFonts w:eastAsia="Times New Roman" w:cs="Times New Roman"/>
          <w:szCs w:val="24"/>
        </w:rPr>
      </w:pPr>
      <w:r w:rsidRPr="00E458FA">
        <w:rPr>
          <w:rFonts w:ascii="MS Gothic" w:eastAsia="MS Gothic" w:hAnsi="MS Gothic" w:cs="Times New Roman"/>
          <w:szCs w:val="24"/>
        </w:rPr>
        <w:tab/>
      </w:r>
      <w:sdt>
        <w:sdtPr>
          <w:rPr>
            <w:rFonts w:ascii="MS Gothic" w:eastAsia="MS Gothic" w:hAnsi="MS Gothic" w:cs="Times New Roman"/>
            <w:szCs w:val="24"/>
          </w:rPr>
          <w:id w:val="1154875093"/>
          <w14:checkbox>
            <w14:checked w14:val="1"/>
            <w14:checkedState w14:val="2612" w14:font="MS Gothic"/>
            <w14:uncheckedState w14:val="2610" w14:font="MS Gothic"/>
          </w14:checkbox>
        </w:sdtPr>
        <w:sdtEndPr/>
        <w:sdtContent>
          <w:r w:rsidR="003C3399">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905143387"/>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09889"/>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51D7937F"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14:paraId="5642600D" w14:textId="4B9A97B5" w:rsidR="00E458FA" w:rsidRPr="00E458FA" w:rsidRDefault="003C3399" w:rsidP="00E458FA">
      <w:pPr>
        <w:tabs>
          <w:tab w:val="left" w:pos="567"/>
        </w:tabs>
        <w:spacing w:after="288" w:line="240" w:lineRule="auto"/>
        <w:ind w:left="142" w:right="11"/>
        <w:rPr>
          <w:rFonts w:eastAsia="Times New Roman" w:cs="Arial"/>
          <w:szCs w:val="24"/>
        </w:rPr>
      </w:pPr>
      <w:r>
        <w:rPr>
          <w:rFonts w:eastAsia="Times New Roman" w:cs="Arial"/>
          <w:szCs w:val="24"/>
        </w:rPr>
        <w:t>A successful TEF score should be used allow APs the opportunity to gain a SNC regardless of whether the majority of their provision is at HE level. I would also question whether the majority of provision had to be at level 6 to allow a fee cap uplift.</w:t>
      </w:r>
    </w:p>
    <w:p w14:paraId="4B6BC8A9" w14:textId="450B32CA" w:rsidR="00E458FA" w:rsidRPr="00E458FA" w:rsidRDefault="003C3399" w:rsidP="00E458FA">
      <w:pPr>
        <w:tabs>
          <w:tab w:val="left" w:pos="567"/>
        </w:tabs>
        <w:spacing w:after="288" w:line="240" w:lineRule="auto"/>
        <w:ind w:left="142" w:right="11"/>
        <w:rPr>
          <w:rFonts w:eastAsia="Times New Roman" w:cs="Arial"/>
          <w:szCs w:val="24"/>
        </w:rPr>
      </w:pPr>
      <w:r>
        <w:rPr>
          <w:rFonts w:eastAsia="Times New Roman" w:cs="Arial"/>
          <w:szCs w:val="24"/>
        </w:rPr>
        <w:t xml:space="preserve">It is imperative that all levels of the TEF are open to the whole sector and APs are not disadvantaged. </w:t>
      </w:r>
    </w:p>
    <w:p w14:paraId="00FDD17E" w14:textId="77777777" w:rsidR="00E458FA" w:rsidRPr="00E458FA" w:rsidRDefault="00E458FA" w:rsidP="00E458FA">
      <w:pPr>
        <w:tabs>
          <w:tab w:val="left" w:pos="567"/>
        </w:tabs>
        <w:spacing w:after="288" w:line="240" w:lineRule="auto"/>
        <w:ind w:left="142" w:right="11"/>
        <w:rPr>
          <w:rFonts w:eastAsia="Times New Roman" w:cs="Arial"/>
          <w:bCs/>
          <w:szCs w:val="24"/>
        </w:rPr>
      </w:pPr>
      <w:r w:rsidRPr="00E458FA">
        <w:rPr>
          <w:rFonts w:eastAsia="Times New Roman" w:cs="Arial"/>
          <w:bCs/>
          <w:szCs w:val="24"/>
        </w:rPr>
        <w:t xml:space="preserve">Question 6: Do you agree with the proposed approach to TEF assessments on </w:t>
      </w:r>
    </w:p>
    <w:p w14:paraId="245A76F0" w14:textId="77777777" w:rsidR="00E458FA" w:rsidRPr="00E458FA" w:rsidRDefault="00E458FA" w:rsidP="00E458FA">
      <w:pPr>
        <w:tabs>
          <w:tab w:val="left" w:pos="567"/>
        </w:tabs>
        <w:spacing w:after="288" w:line="240" w:lineRule="auto"/>
        <w:ind w:left="142" w:right="11"/>
        <w:rPr>
          <w:rFonts w:eastAsia="Times New Roman" w:cs="Arial"/>
          <w:bCs/>
          <w:szCs w:val="24"/>
        </w:rPr>
      </w:pPr>
      <w:r w:rsidRPr="00E458FA">
        <w:rPr>
          <w:rFonts w:eastAsia="Times New Roman" w:cs="Arial"/>
          <w:bCs/>
          <w:szCs w:val="24"/>
        </w:rPr>
        <w:t xml:space="preserve">Timing? </w:t>
      </w:r>
    </w:p>
    <w:p w14:paraId="3D919674" w14:textId="1F7E4129"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886334337"/>
          <w14:checkbox>
            <w14:checked w14:val="1"/>
            <w14:checkedState w14:val="2612" w14:font="MS Gothic"/>
            <w14:uncheckedState w14:val="2610" w14:font="MS Gothic"/>
          </w14:checkbox>
        </w:sdtPr>
        <w:sdtEndPr/>
        <w:sdtContent>
          <w:r w:rsidR="001A5236">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6156794"/>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46070134"/>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1545A723" w14:textId="77777777" w:rsidR="00E458FA" w:rsidRPr="00E458FA" w:rsidRDefault="00E458FA" w:rsidP="00E458FA">
      <w:pPr>
        <w:spacing w:after="288" w:line="240" w:lineRule="auto"/>
        <w:ind w:left="142"/>
        <w:rPr>
          <w:rFonts w:eastAsia="Times New Roman" w:cs="Arial"/>
          <w:bCs/>
          <w:szCs w:val="24"/>
        </w:rPr>
      </w:pPr>
      <w:r w:rsidRPr="00E458FA">
        <w:rPr>
          <w:rFonts w:eastAsia="Times New Roman" w:cs="Arial"/>
          <w:bCs/>
          <w:szCs w:val="24"/>
        </w:rPr>
        <w:t>Assessment panels?</w:t>
      </w:r>
    </w:p>
    <w:p w14:paraId="2C29B458" w14:textId="2FA82694"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25459655"/>
          <w14:checkbox>
            <w14:checked w14:val="1"/>
            <w14:checkedState w14:val="2612" w14:font="MS Gothic"/>
            <w14:uncheckedState w14:val="2610" w14:font="MS Gothic"/>
          </w14:checkbox>
        </w:sdtPr>
        <w:sdtEndPr/>
        <w:sdtContent>
          <w:r w:rsidR="001A5236">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22497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4324274"/>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56F86A83" w14:textId="77777777" w:rsidR="00E458FA" w:rsidRPr="00E458FA" w:rsidRDefault="00E458FA" w:rsidP="00E458FA">
      <w:pPr>
        <w:spacing w:after="288" w:line="240" w:lineRule="auto"/>
        <w:ind w:left="142"/>
        <w:rPr>
          <w:rFonts w:eastAsia="Times New Roman" w:cs="Arial"/>
          <w:bCs/>
          <w:szCs w:val="24"/>
        </w:rPr>
      </w:pPr>
      <w:r w:rsidRPr="00E458FA">
        <w:rPr>
          <w:rFonts w:eastAsia="Times New Roman" w:cs="Arial"/>
          <w:bCs/>
          <w:szCs w:val="24"/>
        </w:rPr>
        <w:t xml:space="preserve"> and process?</w:t>
      </w:r>
    </w:p>
    <w:p w14:paraId="131AF591" w14:textId="0EB71E21"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183208681"/>
          <w14:checkbox>
            <w14:checked w14:val="1"/>
            <w14:checkedState w14:val="2612" w14:font="MS Gothic"/>
            <w14:uncheckedState w14:val="2610" w14:font="MS Gothic"/>
          </w14:checkbox>
        </w:sdtPr>
        <w:sdtEndPr/>
        <w:sdtContent>
          <w:r w:rsidR="001A5236">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121204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65754743"/>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0C4B6437"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Arial"/>
          <w:bCs/>
          <w:szCs w:val="24"/>
        </w:rPr>
        <w:t xml:space="preserve">Please give reasons for your answer. </w:t>
      </w:r>
    </w:p>
    <w:p w14:paraId="43504FB9" w14:textId="77777777" w:rsidR="00E458FA" w:rsidRPr="00E458FA" w:rsidRDefault="00E458FA" w:rsidP="00E458FA">
      <w:pPr>
        <w:spacing w:after="288" w:line="240" w:lineRule="auto"/>
        <w:ind w:left="142"/>
        <w:rPr>
          <w:rFonts w:eastAsia="Times New Roman" w:cs="Times New Roman"/>
          <w:bCs/>
          <w:iCs/>
          <w:szCs w:val="24"/>
        </w:rPr>
      </w:pPr>
    </w:p>
    <w:p w14:paraId="7B0F3974" w14:textId="77777777" w:rsidR="00E458FA" w:rsidRPr="00E458FA" w:rsidRDefault="00E458FA" w:rsidP="00E458FA">
      <w:pPr>
        <w:spacing w:after="288" w:line="240" w:lineRule="auto"/>
        <w:ind w:left="142"/>
        <w:rPr>
          <w:rFonts w:eastAsia="Times New Roman" w:cs="Times New Roman"/>
          <w:bCs/>
          <w:iCs/>
          <w:szCs w:val="24"/>
        </w:rPr>
      </w:pPr>
    </w:p>
    <w:p w14:paraId="121C21C3" w14:textId="77777777"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7: How can we minimise</w:t>
      </w:r>
      <w:r w:rsidR="00000F71">
        <w:rPr>
          <w:rFonts w:eastAsia="Times New Roman" w:cs="Times New Roman"/>
          <w:bCs/>
          <w:iCs/>
          <w:szCs w:val="24"/>
        </w:rPr>
        <w:t xml:space="preserve"> any administrative burdens on i</w:t>
      </w:r>
      <w:r w:rsidRPr="00E458FA">
        <w:rPr>
          <w:rFonts w:eastAsia="Times New Roman" w:cs="Times New Roman"/>
          <w:bCs/>
          <w:iCs/>
          <w:szCs w:val="24"/>
        </w:rPr>
        <w:t>nstitutions?  Please provide any evidence relating to the potential administrative costs and benefits to institutions of the proposals set out in this document.</w:t>
      </w:r>
    </w:p>
    <w:p w14:paraId="4E081783" w14:textId="4C422A1D" w:rsidR="00E458FA" w:rsidRDefault="003F55A1" w:rsidP="003F55A1">
      <w:pPr>
        <w:spacing w:after="288" w:line="240" w:lineRule="auto"/>
        <w:ind w:left="142"/>
        <w:rPr>
          <w:rFonts w:eastAsia="Times New Roman" w:cs="Times New Roman"/>
          <w:bCs/>
          <w:iCs/>
          <w:szCs w:val="24"/>
        </w:rPr>
      </w:pPr>
      <w:r>
        <w:rPr>
          <w:rFonts w:eastAsia="Times New Roman" w:cs="Times New Roman"/>
          <w:bCs/>
          <w:iCs/>
          <w:szCs w:val="24"/>
        </w:rPr>
        <w:t>Where possible data processed by HESA should be used to inform TEF metrics. There should be a general trend of avoiding making institutions submit the same data to multiple agencies.</w:t>
      </w:r>
    </w:p>
    <w:p w14:paraId="21568529" w14:textId="77777777" w:rsidR="003F55A1" w:rsidRPr="00E458FA" w:rsidRDefault="003F55A1" w:rsidP="003F55A1">
      <w:pPr>
        <w:spacing w:after="288" w:line="240" w:lineRule="auto"/>
        <w:ind w:left="142"/>
        <w:rPr>
          <w:rFonts w:eastAsia="Times New Roman" w:cs="Times New Roman"/>
          <w:bCs/>
          <w:iCs/>
          <w:szCs w:val="24"/>
        </w:rPr>
      </w:pPr>
    </w:p>
    <w:p w14:paraId="277AD049" w14:textId="77777777"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 xml:space="preserve">Question 8: Do you agree with the proposed approach to differentiation and award as TEF develops over time?  </w:t>
      </w:r>
    </w:p>
    <w:p w14:paraId="2D95563D" w14:textId="59DD033B"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739120124"/>
          <w14:checkbox>
            <w14:checked w14:val="1"/>
            <w14:checkedState w14:val="2612" w14:font="MS Gothic"/>
            <w14:uncheckedState w14:val="2610" w14:font="MS Gothic"/>
          </w14:checkbox>
        </w:sdtPr>
        <w:sdtEndPr/>
        <w:sdtContent>
          <w:r w:rsidR="0074202F">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083635735"/>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56313333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551A3435" w14:textId="77777777"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Please give reasons for your answer.</w:t>
      </w:r>
    </w:p>
    <w:p w14:paraId="6951AB1F" w14:textId="53DA8838" w:rsidR="00E458FA" w:rsidRPr="00E458FA" w:rsidRDefault="0074202F" w:rsidP="00E458FA">
      <w:pPr>
        <w:tabs>
          <w:tab w:val="left" w:pos="567"/>
        </w:tabs>
        <w:spacing w:after="288" w:line="240" w:lineRule="auto"/>
        <w:ind w:left="142" w:right="11"/>
        <w:rPr>
          <w:rFonts w:eastAsia="Times New Roman" w:cs="Arial"/>
          <w:szCs w:val="24"/>
        </w:rPr>
      </w:pPr>
      <w:r>
        <w:rPr>
          <w:rFonts w:eastAsia="Times New Roman" w:cs="Arial"/>
          <w:szCs w:val="24"/>
        </w:rPr>
        <w:t>It is very important that all levels of the TEF are open to all providers and a differentiated approach can be used to allow for this diversity in the sector. The Joint Intelligence Unit should be used as part of this differentiated process. Their knowledge of different Alternative Providers should be harnessed as part of this approach.</w:t>
      </w:r>
    </w:p>
    <w:p w14:paraId="1B8FD284" w14:textId="77777777" w:rsidR="00E458FA" w:rsidRPr="00E458FA" w:rsidRDefault="00E458FA" w:rsidP="0074202F">
      <w:pPr>
        <w:tabs>
          <w:tab w:val="left" w:pos="567"/>
        </w:tabs>
        <w:spacing w:after="288" w:line="240" w:lineRule="auto"/>
        <w:ind w:right="11"/>
        <w:rPr>
          <w:rFonts w:eastAsia="Times New Roman" w:cs="Arial"/>
          <w:szCs w:val="24"/>
        </w:rPr>
      </w:pPr>
    </w:p>
    <w:p w14:paraId="778BCC52"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9: Do you agree with the proposed approach to incentives for the different types of provider?  </w:t>
      </w:r>
    </w:p>
    <w:p w14:paraId="492A52BC" w14:textId="2EE2331E"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95140120"/>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71696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75829569"/>
          <w14:checkbox>
            <w14:checked w14:val="1"/>
            <w14:checkedState w14:val="2612" w14:font="MS Gothic"/>
            <w14:uncheckedState w14:val="2610" w14:font="MS Gothic"/>
          </w14:checkbox>
        </w:sdtPr>
        <w:sdtEndPr/>
        <w:sdtContent>
          <w:r w:rsidR="00E20973">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77B4D45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6F429924" w14:textId="1BEFE259" w:rsidR="00E458FA" w:rsidRDefault="00E20973" w:rsidP="00E458FA">
      <w:pPr>
        <w:tabs>
          <w:tab w:val="left" w:pos="567"/>
        </w:tabs>
        <w:spacing w:after="288" w:line="240" w:lineRule="auto"/>
        <w:ind w:left="142" w:right="11"/>
        <w:rPr>
          <w:rFonts w:eastAsia="Times New Roman" w:cs="Arial"/>
          <w:szCs w:val="24"/>
        </w:rPr>
      </w:pPr>
      <w:r>
        <w:rPr>
          <w:rFonts w:eastAsia="Times New Roman" w:cs="Arial"/>
          <w:szCs w:val="24"/>
        </w:rPr>
        <w:t xml:space="preserve">Although I support the inclusion of APs within the incentives of fee cap uplift and access to the Performance Pool this would not incentivise a private provider not accessing public funds and therefore not subject to SNC or a fee cap. </w:t>
      </w:r>
    </w:p>
    <w:p w14:paraId="19C7AACB" w14:textId="2B2C3EEF" w:rsidR="00E20973" w:rsidRDefault="00E20973" w:rsidP="00E458FA">
      <w:pPr>
        <w:tabs>
          <w:tab w:val="left" w:pos="567"/>
        </w:tabs>
        <w:spacing w:after="288" w:line="240" w:lineRule="auto"/>
        <w:ind w:left="142" w:right="11"/>
        <w:rPr>
          <w:rFonts w:eastAsia="Times New Roman" w:cs="Arial"/>
          <w:szCs w:val="24"/>
        </w:rPr>
      </w:pPr>
      <w:r>
        <w:rPr>
          <w:rFonts w:eastAsia="Times New Roman" w:cs="Arial"/>
          <w:szCs w:val="24"/>
        </w:rPr>
        <w:t xml:space="preserve">It would be good if a top rated Alternative Provider without DAP could have the SNC lifted completely. Not all APs desire to have DAP but if the quality of their teaching is rated at the very top they should be encouraged by not </w:t>
      </w:r>
      <w:r w:rsidR="003E23F4">
        <w:rPr>
          <w:rFonts w:eastAsia="Times New Roman" w:cs="Arial"/>
          <w:szCs w:val="24"/>
        </w:rPr>
        <w:t>having to limit their number of students. These organisations should be celebrated and it does not make sense for them to have limits on student numbers when an HEI with a lower TEF score could have unlimited numbers of students.</w:t>
      </w:r>
    </w:p>
    <w:p w14:paraId="5B7724F9" w14:textId="21A8BA13" w:rsidR="003E23F4" w:rsidRPr="00E458FA" w:rsidRDefault="003E23F4" w:rsidP="00E458FA">
      <w:pPr>
        <w:tabs>
          <w:tab w:val="left" w:pos="567"/>
        </w:tabs>
        <w:spacing w:after="288" w:line="240" w:lineRule="auto"/>
        <w:ind w:left="142" w:right="11"/>
        <w:rPr>
          <w:rFonts w:eastAsia="Times New Roman" w:cs="Arial"/>
          <w:szCs w:val="24"/>
        </w:rPr>
      </w:pPr>
      <w:r>
        <w:rPr>
          <w:rFonts w:eastAsia="Times New Roman" w:cs="Arial"/>
          <w:szCs w:val="24"/>
        </w:rPr>
        <w:t xml:space="preserve">In order to incentivise a private Alternative Provider there could be a lump sum of money awarded instead of a fee uplift. </w:t>
      </w:r>
      <w:r w:rsidR="00070876">
        <w:rPr>
          <w:rFonts w:eastAsia="Times New Roman" w:cs="Arial"/>
          <w:szCs w:val="24"/>
        </w:rPr>
        <w:t>It</w:t>
      </w:r>
      <w:r>
        <w:rPr>
          <w:rFonts w:eastAsia="Times New Roman" w:cs="Arial"/>
          <w:szCs w:val="24"/>
        </w:rPr>
        <w:t xml:space="preserve"> could be an institution’s choice </w:t>
      </w:r>
      <w:r w:rsidR="00070876">
        <w:rPr>
          <w:rFonts w:eastAsia="Times New Roman" w:cs="Arial"/>
          <w:szCs w:val="24"/>
        </w:rPr>
        <w:t xml:space="preserve">whether </w:t>
      </w:r>
      <w:r w:rsidR="00070876">
        <w:rPr>
          <w:rFonts w:eastAsia="Times New Roman" w:cs="Arial"/>
          <w:szCs w:val="24"/>
        </w:rPr>
        <w:lastRenderedPageBreak/>
        <w:t>they apply for a fee uplift or a lump sum</w:t>
      </w:r>
      <w:r>
        <w:rPr>
          <w:rFonts w:eastAsia="Times New Roman" w:cs="Arial"/>
          <w:szCs w:val="24"/>
        </w:rPr>
        <w:t xml:space="preserve"> as a result of getting a top TEF score. Inclusion on a government approved, overall HE league table which took TEF score into account would also be a huge incentive for a Private Provider eager to be </w:t>
      </w:r>
      <w:r w:rsidR="00593205">
        <w:rPr>
          <w:rFonts w:eastAsia="Times New Roman" w:cs="Arial"/>
          <w:szCs w:val="24"/>
        </w:rPr>
        <w:t>seen as sector leading</w:t>
      </w:r>
      <w:r>
        <w:rPr>
          <w:rFonts w:eastAsia="Times New Roman" w:cs="Arial"/>
          <w:szCs w:val="24"/>
        </w:rPr>
        <w:t>.</w:t>
      </w:r>
    </w:p>
    <w:p w14:paraId="68F9F961" w14:textId="77777777" w:rsidR="00E458FA" w:rsidRPr="00E458FA" w:rsidRDefault="00E458FA" w:rsidP="00E458FA">
      <w:pPr>
        <w:tabs>
          <w:tab w:val="left" w:pos="567"/>
        </w:tabs>
        <w:spacing w:after="288" w:line="240" w:lineRule="auto"/>
        <w:ind w:left="142" w:right="11"/>
        <w:rPr>
          <w:rFonts w:eastAsia="Times New Roman" w:cs="Arial"/>
          <w:szCs w:val="24"/>
        </w:rPr>
      </w:pPr>
    </w:p>
    <w:p w14:paraId="58E0EF7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10: Do you agree with the focus on teaching quality, learning environment, student outcomes and learning gain? </w:t>
      </w:r>
    </w:p>
    <w:p w14:paraId="484F2096" w14:textId="2CB8FD58"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548266895"/>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77536797"/>
          <w14:checkbox>
            <w14:checked w14:val="1"/>
            <w14:checkedState w14:val="2612" w14:font="MS Gothic"/>
            <w14:uncheckedState w14:val="2610" w14:font="MS Gothic"/>
          </w14:checkbox>
        </w:sdtPr>
        <w:sdtEndPr/>
        <w:sdtContent>
          <w:r w:rsidR="00BA27F9">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258367697"/>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1EA20677"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48DED341" w14:textId="6E4E6A59" w:rsidR="00E458FA" w:rsidRDefault="00FF0C1C" w:rsidP="00E458FA">
      <w:pPr>
        <w:tabs>
          <w:tab w:val="left" w:pos="567"/>
        </w:tabs>
        <w:spacing w:after="288" w:line="240" w:lineRule="auto"/>
        <w:ind w:left="142" w:right="11"/>
        <w:rPr>
          <w:rFonts w:eastAsia="Times New Roman" w:cs="Arial"/>
          <w:szCs w:val="24"/>
        </w:rPr>
      </w:pPr>
      <w:r>
        <w:rPr>
          <w:rFonts w:eastAsia="Times New Roman" w:cs="Arial"/>
          <w:szCs w:val="24"/>
        </w:rPr>
        <w:t>I</w:t>
      </w:r>
      <w:r w:rsidR="00BA27F9">
        <w:rPr>
          <w:rFonts w:eastAsia="Times New Roman" w:cs="Arial"/>
          <w:szCs w:val="24"/>
        </w:rPr>
        <w:t xml:space="preserve">t is important that Private Alternative Providers who are not publicly funded or have applied for course designation are not disadvantaged by the </w:t>
      </w:r>
      <w:r w:rsidR="00907EA9">
        <w:rPr>
          <w:rFonts w:eastAsia="Times New Roman" w:cs="Arial"/>
          <w:szCs w:val="24"/>
        </w:rPr>
        <w:t xml:space="preserve">focus on learning gain </w:t>
      </w:r>
      <w:r>
        <w:rPr>
          <w:rFonts w:eastAsia="Times New Roman" w:cs="Arial"/>
          <w:szCs w:val="24"/>
        </w:rPr>
        <w:t xml:space="preserve">achieved </w:t>
      </w:r>
      <w:r w:rsidR="00907EA9">
        <w:rPr>
          <w:rFonts w:eastAsia="Times New Roman" w:cs="Arial"/>
          <w:szCs w:val="24"/>
        </w:rPr>
        <w:t>by disadvantaged students. Although learning gain should be used as a metric</w:t>
      </w:r>
      <w:r>
        <w:rPr>
          <w:rFonts w:eastAsia="Times New Roman" w:cs="Arial"/>
          <w:szCs w:val="24"/>
        </w:rPr>
        <w:t>,</w:t>
      </w:r>
      <w:r w:rsidR="00907EA9">
        <w:rPr>
          <w:rFonts w:eastAsia="Times New Roman" w:cs="Arial"/>
          <w:szCs w:val="24"/>
        </w:rPr>
        <w:t xml:space="preserve"> this should be based on prior qualification score compared to exit qualification score</w:t>
      </w:r>
      <w:r>
        <w:rPr>
          <w:rFonts w:eastAsia="Times New Roman" w:cs="Arial"/>
          <w:szCs w:val="24"/>
        </w:rPr>
        <w:t xml:space="preserve"> for all students, regardless of background</w:t>
      </w:r>
      <w:r w:rsidR="00907EA9">
        <w:rPr>
          <w:rFonts w:eastAsia="Times New Roman" w:cs="Arial"/>
          <w:szCs w:val="24"/>
        </w:rPr>
        <w:t xml:space="preserve">. This would </w:t>
      </w:r>
      <w:r>
        <w:rPr>
          <w:rFonts w:eastAsia="Times New Roman" w:cs="Arial"/>
          <w:szCs w:val="24"/>
        </w:rPr>
        <w:t xml:space="preserve">reflect </w:t>
      </w:r>
      <w:r w:rsidR="00907EA9">
        <w:rPr>
          <w:rFonts w:eastAsia="Times New Roman" w:cs="Arial"/>
          <w:szCs w:val="24"/>
        </w:rPr>
        <w:t xml:space="preserve">the learning gain </w:t>
      </w:r>
      <w:r>
        <w:rPr>
          <w:rFonts w:eastAsia="Times New Roman" w:cs="Arial"/>
          <w:szCs w:val="24"/>
        </w:rPr>
        <w:t>score of an institution</w:t>
      </w:r>
      <w:r w:rsidR="00907EA9">
        <w:rPr>
          <w:rFonts w:eastAsia="Times New Roman" w:cs="Arial"/>
          <w:szCs w:val="24"/>
        </w:rPr>
        <w:t>.</w:t>
      </w:r>
    </w:p>
    <w:p w14:paraId="275B3E28" w14:textId="70E84159" w:rsidR="00E458FA" w:rsidRPr="00E458FA" w:rsidRDefault="00907EA9" w:rsidP="007C5B12">
      <w:pPr>
        <w:tabs>
          <w:tab w:val="left" w:pos="567"/>
        </w:tabs>
        <w:spacing w:after="288" w:line="240" w:lineRule="auto"/>
        <w:ind w:left="142" w:right="11"/>
        <w:rPr>
          <w:rFonts w:eastAsia="Times New Roman" w:cs="Arial"/>
          <w:szCs w:val="24"/>
        </w:rPr>
      </w:pPr>
      <w:r>
        <w:rPr>
          <w:rFonts w:eastAsia="Times New Roman" w:cs="Arial"/>
          <w:szCs w:val="24"/>
        </w:rPr>
        <w:t xml:space="preserve">I would also hesitate to focus on teaching staff’s research output as this would unfairly advantage </w:t>
      </w:r>
      <w:r w:rsidR="00FF0C1C">
        <w:rPr>
          <w:rFonts w:eastAsia="Times New Roman" w:cs="Arial"/>
          <w:szCs w:val="24"/>
        </w:rPr>
        <w:t>Universities</w:t>
      </w:r>
      <w:r>
        <w:rPr>
          <w:rFonts w:eastAsia="Times New Roman" w:cs="Arial"/>
          <w:szCs w:val="24"/>
        </w:rPr>
        <w:t xml:space="preserve"> with a focus on research. Alternative Providers, or newer HEIs who have less focus on research, would naturally not be able to meet this. If vocational output was used alongside research output, </w:t>
      </w:r>
      <w:proofErr w:type="spellStart"/>
      <w:r>
        <w:rPr>
          <w:rFonts w:eastAsia="Times New Roman" w:cs="Arial"/>
          <w:szCs w:val="24"/>
        </w:rPr>
        <w:t>e.g</w:t>
      </w:r>
      <w:proofErr w:type="spellEnd"/>
      <w:r>
        <w:rPr>
          <w:rFonts w:eastAsia="Times New Roman" w:cs="Arial"/>
          <w:szCs w:val="24"/>
        </w:rPr>
        <w:t xml:space="preserve"> if the teaching staff are active in the industry, then this would indicate current relevant knowledge and practice without focussing purely on research.</w:t>
      </w:r>
    </w:p>
    <w:p w14:paraId="726C3A5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11: Do you agree with the proposed approach to the evidence used to make TEF assessments - common metrics derived from the national databases supported by evidence from the provider? </w:t>
      </w:r>
    </w:p>
    <w:p w14:paraId="3D069264" w14:textId="32EB210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76036851"/>
          <w14:checkbox>
            <w14:checked w14:val="0"/>
            <w14:checkedState w14:val="2612" w14:font="MS Gothic"/>
            <w14:uncheckedState w14:val="2610" w14:font="MS Gothic"/>
          </w14:checkbox>
        </w:sdtPr>
        <w:sdtEndPr/>
        <w:sdtContent>
          <w:r w:rsidR="00BC1F28">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3280507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71814916"/>
          <w14:checkbox>
            <w14:checked w14:val="1"/>
            <w14:checkedState w14:val="2612" w14:font="MS Gothic"/>
            <w14:uncheckedState w14:val="2610" w14:font="MS Gothic"/>
          </w14:checkbox>
        </w:sdtPr>
        <w:sdtEndPr/>
        <w:sdtContent>
          <w:r w:rsidR="00BC1F28">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402AD321"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3A63AFE2" w14:textId="6A903CA1" w:rsidR="00BC1F28" w:rsidRDefault="00BC1F28" w:rsidP="00BC1F28">
      <w:pPr>
        <w:spacing w:after="288" w:line="240" w:lineRule="auto"/>
        <w:ind w:left="142"/>
        <w:rPr>
          <w:rFonts w:eastAsia="Times New Roman" w:cs="Times New Roman"/>
          <w:szCs w:val="24"/>
        </w:rPr>
      </w:pPr>
      <w:r>
        <w:rPr>
          <w:rFonts w:eastAsia="Times New Roman" w:cs="Times New Roman"/>
          <w:szCs w:val="24"/>
        </w:rPr>
        <w:t>In theory this system will work providing the metrics used reflect the diversity of providers within HE. It is vital that an organisation</w:t>
      </w:r>
      <w:r w:rsidRPr="00BC1F28">
        <w:rPr>
          <w:rFonts w:eastAsia="Times New Roman" w:cs="Times New Roman"/>
          <w:szCs w:val="24"/>
        </w:rPr>
        <w:t xml:space="preserve"> </w:t>
      </w:r>
      <w:r>
        <w:rPr>
          <w:rFonts w:eastAsia="Times New Roman" w:cs="Times New Roman"/>
          <w:szCs w:val="24"/>
        </w:rPr>
        <w:t xml:space="preserve">who represent Alternative Providers, such as </w:t>
      </w:r>
      <w:proofErr w:type="spellStart"/>
      <w:r>
        <w:rPr>
          <w:rFonts w:eastAsia="Times New Roman" w:cs="Times New Roman"/>
          <w:szCs w:val="24"/>
        </w:rPr>
        <w:t>StudyUK</w:t>
      </w:r>
      <w:proofErr w:type="spellEnd"/>
      <w:r>
        <w:rPr>
          <w:rFonts w:eastAsia="Times New Roman" w:cs="Times New Roman"/>
          <w:szCs w:val="24"/>
        </w:rPr>
        <w:t>, are consulted, alongside evidence and experience from the Joint Intelligence Unit to ensure that any TEF metrics cater for the diverse range of institution delivering HE.</w:t>
      </w:r>
    </w:p>
    <w:p w14:paraId="15A77564" w14:textId="3B3C47BF" w:rsidR="00BC1F28" w:rsidRPr="00E458FA" w:rsidRDefault="00BC1F28" w:rsidP="00BC1F28">
      <w:pPr>
        <w:spacing w:after="288" w:line="240" w:lineRule="auto"/>
        <w:ind w:left="142"/>
        <w:rPr>
          <w:rFonts w:eastAsia="Times New Roman" w:cs="Times New Roman"/>
          <w:szCs w:val="24"/>
        </w:rPr>
      </w:pPr>
      <w:r>
        <w:rPr>
          <w:rFonts w:eastAsia="Times New Roman" w:cs="Times New Roman"/>
          <w:szCs w:val="24"/>
        </w:rPr>
        <w:t xml:space="preserve">I would also urge that evidence such as external examiner reports were used so institutions themselves were not </w:t>
      </w:r>
      <w:r w:rsidR="00FF0C1C">
        <w:rPr>
          <w:rFonts w:eastAsia="Times New Roman" w:cs="Times New Roman"/>
          <w:szCs w:val="24"/>
        </w:rPr>
        <w:t>the only source of evidence. E</w:t>
      </w:r>
      <w:r>
        <w:rPr>
          <w:rFonts w:eastAsia="Times New Roman" w:cs="Times New Roman"/>
          <w:szCs w:val="24"/>
        </w:rPr>
        <w:t>xternal examiner input</w:t>
      </w:r>
      <w:r w:rsidR="00FF0C1C">
        <w:rPr>
          <w:rFonts w:eastAsia="Times New Roman" w:cs="Times New Roman"/>
          <w:szCs w:val="24"/>
        </w:rPr>
        <w:t>, through reports or statements,</w:t>
      </w:r>
      <w:r>
        <w:rPr>
          <w:rFonts w:eastAsia="Times New Roman" w:cs="Times New Roman"/>
          <w:szCs w:val="24"/>
        </w:rPr>
        <w:t xml:space="preserve"> would ensure that a degree of externality was </w:t>
      </w:r>
      <w:r w:rsidR="00FF0C1C">
        <w:rPr>
          <w:rFonts w:eastAsia="Times New Roman" w:cs="Times New Roman"/>
          <w:szCs w:val="24"/>
        </w:rPr>
        <w:t>apparent</w:t>
      </w:r>
      <w:r>
        <w:rPr>
          <w:rFonts w:eastAsia="Times New Roman" w:cs="Times New Roman"/>
          <w:szCs w:val="24"/>
        </w:rPr>
        <w:t>.</w:t>
      </w:r>
    </w:p>
    <w:p w14:paraId="023754AA" w14:textId="77777777" w:rsidR="00E458FA" w:rsidRPr="00E458FA" w:rsidRDefault="00E458FA" w:rsidP="00E458FA">
      <w:pPr>
        <w:spacing w:after="288" w:line="240" w:lineRule="auto"/>
        <w:ind w:left="142"/>
        <w:rPr>
          <w:rFonts w:eastAsia="Times New Roman" w:cs="Times New Roman"/>
          <w:szCs w:val="24"/>
        </w:rPr>
      </w:pPr>
    </w:p>
    <w:p w14:paraId="1FB7B129"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9" w:name="_Toc434412498"/>
      <w:r w:rsidRPr="00E458FA">
        <w:rPr>
          <w:rFonts w:eastAsia="Times New Roman" w:cs="Times New Roman"/>
          <w:b/>
          <w:bCs/>
          <w:color w:val="009BBB"/>
          <w:sz w:val="26"/>
          <w:szCs w:val="26"/>
        </w:rPr>
        <w:lastRenderedPageBreak/>
        <w:t>Social mobility and widening participation (Part A: Chapter 4)</w:t>
      </w:r>
      <w:bookmarkEnd w:id="9"/>
    </w:p>
    <w:p w14:paraId="65143C99"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12:</w:t>
      </w:r>
    </w:p>
    <w:p w14:paraId="5465AE18" w14:textId="77777777"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proposals to further improve access and success for students from disadvantaged backgrounds and black and minority ethnic (BME) backgrounds? </w:t>
      </w:r>
    </w:p>
    <w:p w14:paraId="5BD4B9DD" w14:textId="06326D64"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768919719"/>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  </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1478035"/>
          <w14:checkbox>
            <w14:checked w14:val="1"/>
            <w14:checkedState w14:val="2612" w14:font="MS Gothic"/>
            <w14:uncheckedState w14:val="2610" w14:font="MS Gothic"/>
          </w14:checkbox>
        </w:sdtPr>
        <w:sdtEndPr/>
        <w:sdtContent>
          <w:r w:rsidR="00964F75">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25505093"/>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0AEB49C0"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60BD9D3B" w14:textId="4D0CBD03" w:rsidR="00E458FA" w:rsidRDefault="00BD6742" w:rsidP="00BD6742">
      <w:pPr>
        <w:tabs>
          <w:tab w:val="left" w:pos="567"/>
        </w:tabs>
        <w:spacing w:after="288" w:line="240" w:lineRule="auto"/>
        <w:ind w:right="11"/>
        <w:rPr>
          <w:rFonts w:eastAsia="Times New Roman" w:cs="Arial"/>
          <w:szCs w:val="24"/>
        </w:rPr>
      </w:pPr>
      <w:r>
        <w:rPr>
          <w:rFonts w:eastAsia="Times New Roman" w:cs="Arial"/>
          <w:szCs w:val="24"/>
        </w:rPr>
        <w:t xml:space="preserve">Many disadvantaged or BME students will have accessed non-traditional level 3 courses. As it is now law for all students to be undertaking a study programme until the age of 18 it is right to expect that there will be a greater number of students, from all backgrounds, with </w:t>
      </w:r>
      <w:r w:rsidR="00356F36">
        <w:rPr>
          <w:rFonts w:eastAsia="Times New Roman" w:cs="Arial"/>
          <w:szCs w:val="24"/>
        </w:rPr>
        <w:t xml:space="preserve">a diverse range of </w:t>
      </w:r>
      <w:r>
        <w:rPr>
          <w:rFonts w:eastAsia="Times New Roman" w:cs="Arial"/>
          <w:szCs w:val="24"/>
        </w:rPr>
        <w:t>level 3 qualifications once they turn 18.</w:t>
      </w:r>
    </w:p>
    <w:p w14:paraId="1B4BE87E" w14:textId="7CBBF9F9" w:rsidR="00BD6742" w:rsidRDefault="00BD6742" w:rsidP="00BD6742">
      <w:pPr>
        <w:tabs>
          <w:tab w:val="left" w:pos="567"/>
        </w:tabs>
        <w:spacing w:after="288" w:line="240" w:lineRule="auto"/>
        <w:ind w:right="11"/>
        <w:rPr>
          <w:rFonts w:eastAsia="Times New Roman" w:cs="Arial"/>
          <w:szCs w:val="24"/>
        </w:rPr>
      </w:pPr>
      <w:r>
        <w:rPr>
          <w:rFonts w:eastAsia="Times New Roman" w:cs="Arial"/>
          <w:szCs w:val="24"/>
        </w:rPr>
        <w:t>All students have the opportunity to apply for HE courses, the majority of which are publicly funded at the point of entry and will therefore not have a</w:t>
      </w:r>
      <w:r w:rsidR="00356F36">
        <w:rPr>
          <w:rFonts w:eastAsia="Times New Roman" w:cs="Arial"/>
          <w:szCs w:val="24"/>
        </w:rPr>
        <w:t>n immediate</w:t>
      </w:r>
      <w:r>
        <w:rPr>
          <w:rFonts w:eastAsia="Times New Roman" w:cs="Arial"/>
          <w:szCs w:val="24"/>
        </w:rPr>
        <w:t xml:space="preserve"> financial impact on the prospective students. Level 3 provision does not just mean A-levels and it is important that there are mechanisms in place for the diversity of level 3 provision attainable by 18 year olds be taken into account through University admissions. BME and disadvantaged students are under-represented on A-level courses however the gap narrows significantly when one looks at BTECs. Having a healthy and diverse FE sector is essential to accommodating student needs and ensuring that there are routes to HE for the diverse profile of students.</w:t>
      </w:r>
    </w:p>
    <w:p w14:paraId="29B1D5CB" w14:textId="6F65B0D6" w:rsidR="00BD6742" w:rsidRDefault="009D0E7B" w:rsidP="00BD6742">
      <w:pPr>
        <w:tabs>
          <w:tab w:val="left" w:pos="567"/>
        </w:tabs>
        <w:spacing w:after="288" w:line="240" w:lineRule="auto"/>
        <w:ind w:right="11"/>
        <w:rPr>
          <w:rFonts w:eastAsia="Times New Roman" w:cs="Arial"/>
          <w:szCs w:val="24"/>
        </w:rPr>
      </w:pPr>
      <w:r>
        <w:rPr>
          <w:rFonts w:eastAsia="Times New Roman" w:cs="Arial"/>
          <w:szCs w:val="24"/>
        </w:rPr>
        <w:t xml:space="preserve">In terms of </w:t>
      </w:r>
      <w:proofErr w:type="spellStart"/>
      <w:r>
        <w:rPr>
          <w:rFonts w:eastAsia="Times New Roman" w:cs="Arial"/>
          <w:szCs w:val="24"/>
        </w:rPr>
        <w:t>nameblind</w:t>
      </w:r>
      <w:proofErr w:type="spellEnd"/>
      <w:r>
        <w:rPr>
          <w:rFonts w:eastAsia="Times New Roman" w:cs="Arial"/>
          <w:szCs w:val="24"/>
        </w:rPr>
        <w:t xml:space="preserve"> applications I think that this will have limited benefit. I find it hard to believe that students are prejudiced against as a result of their names. Even if this engrained racism was taking place through University admissions it would not help to address the imbalance between disadvantaged and advantaged background for students. A more sensible thing t</w:t>
      </w:r>
      <w:r w:rsidR="00356F36">
        <w:rPr>
          <w:rFonts w:eastAsia="Times New Roman" w:cs="Arial"/>
          <w:szCs w:val="24"/>
        </w:rPr>
        <w:t xml:space="preserve">o do to avoid prejudice is make student </w:t>
      </w:r>
      <w:r>
        <w:rPr>
          <w:rFonts w:eastAsia="Times New Roman" w:cs="Arial"/>
          <w:szCs w:val="24"/>
        </w:rPr>
        <w:t>applications ‘institution blind’, effectively block out where students had studied between the ages of 16-18, so a prospective university can’t see whether a student went to a 6</w:t>
      </w:r>
      <w:r w:rsidRPr="009D0E7B">
        <w:rPr>
          <w:rFonts w:eastAsia="Times New Roman" w:cs="Arial"/>
          <w:szCs w:val="24"/>
          <w:vertAlign w:val="superscript"/>
        </w:rPr>
        <w:t>th</w:t>
      </w:r>
      <w:r>
        <w:rPr>
          <w:rFonts w:eastAsia="Times New Roman" w:cs="Arial"/>
          <w:szCs w:val="24"/>
        </w:rPr>
        <w:t xml:space="preserve"> form college or an FE college. They also wouldn’t be able to ascertain whether a student had been to a particular institution. This would help to put all students, regardless or background, on a level playing field at the point of application.  </w:t>
      </w:r>
    </w:p>
    <w:p w14:paraId="46462F8F" w14:textId="6B287E9C" w:rsidR="009D0E7B" w:rsidRDefault="009D0E7B" w:rsidP="00BD6742">
      <w:pPr>
        <w:tabs>
          <w:tab w:val="left" w:pos="567"/>
        </w:tabs>
        <w:spacing w:after="288" w:line="240" w:lineRule="auto"/>
        <w:ind w:right="11"/>
        <w:rPr>
          <w:rFonts w:eastAsia="Times New Roman" w:cs="Arial"/>
          <w:szCs w:val="24"/>
        </w:rPr>
      </w:pPr>
      <w:r>
        <w:rPr>
          <w:rFonts w:eastAsia="Times New Roman" w:cs="Arial"/>
          <w:szCs w:val="24"/>
        </w:rPr>
        <w:t xml:space="preserve">In terms of student success, I think that Alternative Providers can play a crucial role here. The formality, process and environment of a University can be very foreign to a student from a disadvantaged background who attended their local comprehensive school. It is clear that the whole set up of Eton, colleges, quads, grand halls </w:t>
      </w:r>
      <w:proofErr w:type="spellStart"/>
      <w:r>
        <w:rPr>
          <w:rFonts w:eastAsia="Times New Roman" w:cs="Arial"/>
          <w:szCs w:val="24"/>
        </w:rPr>
        <w:t>etc</w:t>
      </w:r>
      <w:proofErr w:type="spellEnd"/>
      <w:r>
        <w:rPr>
          <w:rFonts w:eastAsia="Times New Roman" w:cs="Arial"/>
          <w:szCs w:val="24"/>
        </w:rPr>
        <w:t xml:space="preserve">, is akin to a mini Oxbridge. It is only natural that students at Eton will feel </w:t>
      </w:r>
      <w:r w:rsidR="00A30938">
        <w:rPr>
          <w:rFonts w:eastAsia="Times New Roman" w:cs="Arial"/>
          <w:szCs w:val="24"/>
        </w:rPr>
        <w:t xml:space="preserve">acclimatised at Oxford or Cambridge as it is a similar environment to what they have grown up with. A diverse Alternative Provider sector will ensure that there </w:t>
      </w:r>
      <w:r w:rsidR="00A36047">
        <w:rPr>
          <w:rFonts w:eastAsia="Times New Roman" w:cs="Arial"/>
          <w:szCs w:val="24"/>
        </w:rPr>
        <w:t>is</w:t>
      </w:r>
      <w:r w:rsidR="00A30938">
        <w:rPr>
          <w:rFonts w:eastAsia="Times New Roman" w:cs="Arial"/>
          <w:szCs w:val="24"/>
        </w:rPr>
        <w:t xml:space="preserve"> a diversity of environments in which to study HE. If APs are on a level-pegging with Universities then there will be no stigma attached to the type of institution a degree was obtained from and a diverse range of environments in which to study for the degree will be </w:t>
      </w:r>
      <w:r w:rsidR="00A30938">
        <w:rPr>
          <w:rFonts w:eastAsia="Times New Roman" w:cs="Arial"/>
          <w:szCs w:val="24"/>
        </w:rPr>
        <w:lastRenderedPageBreak/>
        <w:t>provided. It will then be down to the student to pick the type of institution they will feel comfortable and confident to achieve their qualification.</w:t>
      </w:r>
    </w:p>
    <w:p w14:paraId="5E67A507" w14:textId="77777777" w:rsidR="00A36047" w:rsidRPr="00E458FA" w:rsidRDefault="00A36047" w:rsidP="00BD6742">
      <w:pPr>
        <w:tabs>
          <w:tab w:val="left" w:pos="567"/>
        </w:tabs>
        <w:spacing w:after="288" w:line="240" w:lineRule="auto"/>
        <w:ind w:right="11"/>
        <w:rPr>
          <w:rFonts w:eastAsia="Times New Roman" w:cs="Arial"/>
          <w:szCs w:val="24"/>
        </w:rPr>
      </w:pPr>
    </w:p>
    <w:p w14:paraId="6545CAC1" w14:textId="77777777"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that the Office for Students should have the power to set targets where providers are failing to make progress?  </w:t>
      </w:r>
    </w:p>
    <w:p w14:paraId="418044A6" w14:textId="3E13410F" w:rsidR="00E458FA" w:rsidRPr="00E458FA" w:rsidRDefault="00E458FA" w:rsidP="006C7C6B">
      <w:pPr>
        <w:tabs>
          <w:tab w:val="left" w:pos="567"/>
        </w:tabs>
        <w:spacing w:after="288" w:line="240" w:lineRule="auto"/>
        <w:ind w:left="142" w:firstLine="360"/>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529369998"/>
          <w14:checkbox>
            <w14:checked w14:val="0"/>
            <w14:checkedState w14:val="2612" w14:font="MS Gothic"/>
            <w14:uncheckedState w14:val="2610" w14:font="MS Gothic"/>
          </w14:checkbox>
        </w:sdtPr>
        <w:sdtEndPr/>
        <w:sdtContent>
          <w:r w:rsidR="006C7C6B">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32948440"/>
          <w14:checkbox>
            <w14:checked w14:val="1"/>
            <w14:checkedState w14:val="2612" w14:font="MS Gothic"/>
            <w14:uncheckedState w14:val="2610" w14:font="MS Gothic"/>
          </w14:checkbox>
        </w:sdtPr>
        <w:sdtEndPr/>
        <w:sdtContent>
          <w:r w:rsidR="00A36047">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890416440"/>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70D67BC7"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6F577B93" w14:textId="2F7F730E" w:rsidR="00E458FA" w:rsidRDefault="00A36047" w:rsidP="00E458FA">
      <w:pPr>
        <w:tabs>
          <w:tab w:val="left" w:pos="567"/>
        </w:tabs>
        <w:spacing w:after="288" w:line="240" w:lineRule="auto"/>
        <w:ind w:left="142" w:right="11"/>
        <w:rPr>
          <w:rFonts w:eastAsia="Times New Roman" w:cs="Arial"/>
          <w:szCs w:val="24"/>
        </w:rPr>
      </w:pPr>
      <w:r>
        <w:rPr>
          <w:rFonts w:eastAsia="Times New Roman" w:cs="Arial"/>
          <w:szCs w:val="24"/>
        </w:rPr>
        <w:t>I think that measures, such as those I listed above, should improve participation. The issue of widening participation is far too grey to try and apply a black and white target to.</w:t>
      </w:r>
    </w:p>
    <w:p w14:paraId="0A2CA107" w14:textId="7739CD37" w:rsidR="00E458FA" w:rsidRDefault="007B7887" w:rsidP="00047AE9">
      <w:pPr>
        <w:tabs>
          <w:tab w:val="left" w:pos="567"/>
        </w:tabs>
        <w:spacing w:after="288" w:line="240" w:lineRule="auto"/>
        <w:ind w:left="142" w:right="11"/>
        <w:rPr>
          <w:rFonts w:eastAsia="Times New Roman" w:cs="Arial"/>
          <w:szCs w:val="24"/>
        </w:rPr>
      </w:pPr>
      <w:r>
        <w:rPr>
          <w:rFonts w:eastAsia="Times New Roman" w:cs="Arial"/>
          <w:szCs w:val="24"/>
        </w:rPr>
        <w:t xml:space="preserve">Progress towards widening participation could be used as a metric used by the </w:t>
      </w:r>
      <w:proofErr w:type="spellStart"/>
      <w:r>
        <w:rPr>
          <w:rFonts w:eastAsia="Times New Roman" w:cs="Arial"/>
          <w:szCs w:val="24"/>
        </w:rPr>
        <w:t>OfS</w:t>
      </w:r>
      <w:proofErr w:type="spellEnd"/>
      <w:r>
        <w:rPr>
          <w:rFonts w:eastAsia="Times New Roman" w:cs="Arial"/>
          <w:szCs w:val="24"/>
        </w:rPr>
        <w:t xml:space="preserve"> when deciding whether institutions can raise fees above the current cap. This would have to be done in a way which does not disadvantage private institutions and it is therefore difficult to see how this could link to the TEF, as outlined previously in this response.</w:t>
      </w:r>
      <w:r w:rsidR="00047AE9">
        <w:rPr>
          <w:rFonts w:eastAsia="Times New Roman" w:cs="Arial"/>
          <w:szCs w:val="24"/>
        </w:rPr>
        <w:t xml:space="preserve"> </w:t>
      </w:r>
    </w:p>
    <w:p w14:paraId="7F82BEAC" w14:textId="77777777" w:rsidR="00047AE9" w:rsidRPr="00E458FA" w:rsidRDefault="00047AE9" w:rsidP="00047AE9">
      <w:pPr>
        <w:tabs>
          <w:tab w:val="left" w:pos="567"/>
        </w:tabs>
        <w:spacing w:after="288" w:line="240" w:lineRule="auto"/>
        <w:ind w:left="142" w:right="11"/>
        <w:rPr>
          <w:rFonts w:eastAsia="Times New Roman" w:cs="Arial"/>
          <w:szCs w:val="24"/>
        </w:rPr>
      </w:pPr>
    </w:p>
    <w:p w14:paraId="6D2A4F4C" w14:textId="77777777"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What other groups or measures should the Government consider?</w:t>
      </w:r>
    </w:p>
    <w:p w14:paraId="0B311AF0" w14:textId="77777777" w:rsidR="00E458FA" w:rsidRPr="00E458FA" w:rsidRDefault="00E458FA" w:rsidP="00E458FA">
      <w:pPr>
        <w:tabs>
          <w:tab w:val="left" w:pos="567"/>
          <w:tab w:val="left" w:pos="2776"/>
        </w:tabs>
        <w:spacing w:after="288" w:line="240" w:lineRule="auto"/>
        <w:ind w:left="142" w:right="11"/>
        <w:rPr>
          <w:rFonts w:eastAsia="Times New Roman" w:cs="Arial"/>
          <w:szCs w:val="24"/>
        </w:rPr>
      </w:pPr>
    </w:p>
    <w:p w14:paraId="75E31445" w14:textId="77777777" w:rsidR="00E458FA" w:rsidRPr="00E458FA" w:rsidRDefault="00E458FA" w:rsidP="00E458FA">
      <w:pPr>
        <w:tabs>
          <w:tab w:val="left" w:pos="567"/>
          <w:tab w:val="left" w:pos="2776"/>
        </w:tabs>
        <w:spacing w:after="288" w:line="240" w:lineRule="auto"/>
        <w:ind w:left="142" w:right="11"/>
        <w:rPr>
          <w:rFonts w:eastAsia="Times New Roman" w:cs="Arial"/>
          <w:szCs w:val="24"/>
        </w:rPr>
      </w:pPr>
    </w:p>
    <w:p w14:paraId="238D85EB" w14:textId="77777777" w:rsidR="00E458FA" w:rsidRPr="00E458FA" w:rsidRDefault="00E458FA" w:rsidP="00E458FA">
      <w:pPr>
        <w:tabs>
          <w:tab w:val="left" w:pos="567"/>
          <w:tab w:val="left" w:pos="2776"/>
        </w:tabs>
        <w:spacing w:after="288" w:line="240" w:lineRule="auto"/>
        <w:ind w:left="142" w:right="11"/>
        <w:rPr>
          <w:rFonts w:eastAsia="Times New Roman" w:cs="Arial"/>
          <w:szCs w:val="24"/>
        </w:rPr>
      </w:pPr>
      <w:r w:rsidRPr="00E458FA">
        <w:rPr>
          <w:rFonts w:eastAsia="Times New Roman" w:cs="Arial"/>
          <w:szCs w:val="24"/>
        </w:rPr>
        <w:t>Question 13:</w:t>
      </w:r>
      <w:r w:rsidRPr="00E458FA">
        <w:rPr>
          <w:rFonts w:eastAsia="Times New Roman" w:cs="Arial"/>
          <w:szCs w:val="24"/>
        </w:rPr>
        <w:tab/>
      </w:r>
    </w:p>
    <w:p w14:paraId="07573CC0" w14:textId="77777777" w:rsidR="00E458FA" w:rsidRPr="00E458FA" w:rsidRDefault="00E458FA" w:rsidP="00E458FA">
      <w:pPr>
        <w:numPr>
          <w:ilvl w:val="0"/>
          <w:numId w:val="21"/>
        </w:numPr>
        <w:tabs>
          <w:tab w:val="left" w:pos="567"/>
        </w:tabs>
        <w:spacing w:after="288" w:line="240" w:lineRule="auto"/>
        <w:ind w:right="11"/>
        <w:rPr>
          <w:rFonts w:eastAsia="Times New Roman" w:cs="Arial"/>
          <w:szCs w:val="24"/>
        </w:rPr>
      </w:pPr>
      <w:r w:rsidRPr="00E458FA">
        <w:rPr>
          <w:rFonts w:eastAsia="Times New Roman" w:cs="Arial"/>
          <w:szCs w:val="24"/>
        </w:rPr>
        <w:t>What potential benefits for decision and policy making in relation to improving access might arise from additional data being available?</w:t>
      </w:r>
    </w:p>
    <w:p w14:paraId="0FB5B5F2" w14:textId="77777777" w:rsidR="00E458FA" w:rsidRPr="00E458FA" w:rsidRDefault="00E458FA" w:rsidP="00047AE9">
      <w:pPr>
        <w:tabs>
          <w:tab w:val="left" w:pos="567"/>
        </w:tabs>
        <w:spacing w:after="288" w:line="240" w:lineRule="auto"/>
        <w:ind w:right="11"/>
        <w:rPr>
          <w:rFonts w:eastAsia="Times New Roman" w:cs="Arial"/>
          <w:szCs w:val="24"/>
        </w:rPr>
      </w:pPr>
    </w:p>
    <w:p w14:paraId="46CA9249" w14:textId="56FA458E" w:rsidR="00E458FA" w:rsidRDefault="00E458FA" w:rsidP="00047AE9">
      <w:pPr>
        <w:numPr>
          <w:ilvl w:val="0"/>
          <w:numId w:val="21"/>
        </w:numPr>
        <w:tabs>
          <w:tab w:val="left" w:pos="567"/>
        </w:tabs>
        <w:spacing w:after="288" w:line="240" w:lineRule="auto"/>
        <w:ind w:right="11"/>
        <w:rPr>
          <w:rFonts w:eastAsia="Times New Roman" w:cs="Arial"/>
          <w:szCs w:val="24"/>
        </w:rPr>
      </w:pPr>
      <w:r w:rsidRPr="00E458FA">
        <w:rPr>
          <w:rFonts w:eastAsia="Times New Roman" w:cs="Arial"/>
          <w:szCs w:val="24"/>
        </w:rPr>
        <w:t>What additional administrative burdens might this place on organisations? If additional costs are expected to be associated with this, please quantify them.</w:t>
      </w:r>
    </w:p>
    <w:p w14:paraId="5A4B44A2" w14:textId="75866C3D" w:rsidR="00047AE9" w:rsidRDefault="00047AE9" w:rsidP="00047AE9">
      <w:pPr>
        <w:tabs>
          <w:tab w:val="left" w:pos="567"/>
        </w:tabs>
        <w:spacing w:after="288" w:line="240" w:lineRule="auto"/>
        <w:ind w:left="502" w:right="11"/>
        <w:rPr>
          <w:rFonts w:eastAsia="Times New Roman" w:cs="Arial"/>
          <w:szCs w:val="24"/>
        </w:rPr>
      </w:pPr>
      <w:r>
        <w:rPr>
          <w:rFonts w:eastAsia="Times New Roman" w:cs="Arial"/>
          <w:szCs w:val="24"/>
        </w:rPr>
        <w:t xml:space="preserve">For </w:t>
      </w:r>
      <w:r w:rsidR="004F73D8">
        <w:rPr>
          <w:rFonts w:eastAsia="Times New Roman" w:cs="Arial"/>
          <w:szCs w:val="24"/>
        </w:rPr>
        <w:t xml:space="preserve">my institution, </w:t>
      </w:r>
      <w:r>
        <w:rPr>
          <w:rFonts w:eastAsia="Times New Roman" w:cs="Arial"/>
          <w:szCs w:val="24"/>
        </w:rPr>
        <w:t>Point Blank, a private HE provider, the cost of widening participation for disadvantaged groups is very tangible. Our courses cost money and they are not publicly funded therefore students need to have a certain amount upfront or have the ability to pay in instalments. A lot would need to change before we could offer public funding on all of our courses, namely SLC funding being offered per credit rather than per year (as we are running 2 year degrees).</w:t>
      </w:r>
    </w:p>
    <w:p w14:paraId="1FCEC35B" w14:textId="53A55DA1" w:rsidR="00047AE9" w:rsidRPr="00047AE9" w:rsidRDefault="00047AE9" w:rsidP="00047AE9">
      <w:pPr>
        <w:tabs>
          <w:tab w:val="left" w:pos="567"/>
        </w:tabs>
        <w:spacing w:after="288" w:line="240" w:lineRule="auto"/>
        <w:ind w:left="502" w:right="11"/>
        <w:rPr>
          <w:rFonts w:eastAsia="Times New Roman" w:cs="Arial"/>
          <w:szCs w:val="24"/>
        </w:rPr>
      </w:pPr>
      <w:r>
        <w:rPr>
          <w:rFonts w:eastAsia="Times New Roman" w:cs="Arial"/>
          <w:szCs w:val="24"/>
        </w:rPr>
        <w:lastRenderedPageBreak/>
        <w:t>In order for us to attract more students from disadvantaged backgrounds we would need to offer more fee waivers for eligible</w:t>
      </w:r>
      <w:r w:rsidR="004F73D8">
        <w:rPr>
          <w:rFonts w:eastAsia="Times New Roman" w:cs="Arial"/>
          <w:szCs w:val="24"/>
        </w:rPr>
        <w:t>, disadvantaged</w:t>
      </w:r>
      <w:r>
        <w:rPr>
          <w:rFonts w:eastAsia="Times New Roman" w:cs="Arial"/>
          <w:szCs w:val="24"/>
        </w:rPr>
        <w:t xml:space="preserve"> students. This would equate to </w:t>
      </w:r>
      <w:r w:rsidR="00396779">
        <w:rPr>
          <w:rFonts w:eastAsia="Times New Roman" w:cs="Arial"/>
          <w:szCs w:val="24"/>
        </w:rPr>
        <w:t>the full course fee for each</w:t>
      </w:r>
      <w:r>
        <w:rPr>
          <w:rFonts w:eastAsia="Times New Roman" w:cs="Arial"/>
          <w:szCs w:val="24"/>
        </w:rPr>
        <w:t xml:space="preserve"> </w:t>
      </w:r>
      <w:r w:rsidR="00396779">
        <w:rPr>
          <w:rFonts w:eastAsia="Times New Roman" w:cs="Arial"/>
          <w:szCs w:val="24"/>
        </w:rPr>
        <w:t xml:space="preserve">student </w:t>
      </w:r>
      <w:bookmarkStart w:id="10" w:name="_GoBack"/>
      <w:bookmarkEnd w:id="10"/>
      <w:r>
        <w:rPr>
          <w:rFonts w:eastAsia="Times New Roman" w:cs="Arial"/>
          <w:szCs w:val="24"/>
        </w:rPr>
        <w:t>enrolled with a fee waver.</w:t>
      </w:r>
    </w:p>
    <w:p w14:paraId="0CAE324B" w14:textId="77777777" w:rsidR="00E458FA" w:rsidRPr="00E458FA" w:rsidRDefault="00E458FA" w:rsidP="00E458FA">
      <w:pPr>
        <w:spacing w:after="288" w:line="240" w:lineRule="auto"/>
        <w:ind w:left="142"/>
        <w:rPr>
          <w:rFonts w:eastAsia="Times New Roman" w:cs="Times New Roman"/>
          <w:szCs w:val="24"/>
        </w:rPr>
      </w:pPr>
    </w:p>
    <w:p w14:paraId="11CC2849"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1" w:name="_Toc434412499"/>
      <w:r w:rsidRPr="00E458FA">
        <w:rPr>
          <w:rFonts w:eastAsia="Times New Roman" w:cs="Times New Roman"/>
          <w:b/>
          <w:bCs/>
          <w:color w:val="009BBB"/>
          <w:sz w:val="26"/>
          <w:szCs w:val="26"/>
        </w:rPr>
        <w:t>Opening up the sector to new providers (Part B: Chapter 1)</w:t>
      </w:r>
      <w:bookmarkEnd w:id="11"/>
    </w:p>
    <w:p w14:paraId="60324578"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14: Do you agree with the proposed single route into the higher education sector?  </w:t>
      </w:r>
    </w:p>
    <w:p w14:paraId="039FFB57"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r w:rsidRPr="00E458FA">
        <w:rPr>
          <w:rFonts w:eastAsia="Times New Roman" w:cs="Times New Roman"/>
          <w:szCs w:val="24"/>
        </w:rPr>
        <w:tab/>
      </w:r>
      <w:sdt>
        <w:sdtPr>
          <w:rPr>
            <w:rFonts w:eastAsia="Times New Roman" w:cs="Times New Roman"/>
            <w:szCs w:val="24"/>
          </w:rPr>
          <w:id w:val="987746131"/>
          <w14:checkbox>
            <w14:checked w14:val="1"/>
            <w14:checkedState w14:val="2612" w14:font="MS Gothic"/>
            <w14:uncheckedState w14:val="2610" w14:font="MS Gothic"/>
          </w14:checkbox>
        </w:sdtPr>
        <w:sdtEndPr/>
        <w:sdtContent>
          <w:r w:rsidR="004D6BD9">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801436"/>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9191370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2B79FDEA" w14:textId="77777777" w:rsidR="00E458FA" w:rsidRPr="00E458FA" w:rsidRDefault="00E458FA" w:rsidP="00E458FA">
      <w:pPr>
        <w:tabs>
          <w:tab w:val="left" w:pos="567"/>
        </w:tabs>
        <w:spacing w:after="288" w:line="240" w:lineRule="auto"/>
        <w:ind w:left="142" w:right="11"/>
        <w:rPr>
          <w:rFonts w:eastAsia="Times New Roman" w:cs="Arial"/>
          <w:bCs/>
          <w:iCs/>
          <w:szCs w:val="24"/>
        </w:rPr>
      </w:pPr>
      <w:r w:rsidRPr="00E458FA">
        <w:rPr>
          <w:rFonts w:eastAsia="Times New Roman" w:cs="Arial"/>
          <w:szCs w:val="24"/>
        </w:rPr>
        <w:t>Please give reasons for your answer, including information quantifying how the potential cost of entry would change as a result of these proposals.</w:t>
      </w:r>
    </w:p>
    <w:p w14:paraId="020ED486" w14:textId="77777777" w:rsidR="00E458FA" w:rsidRDefault="00AF10B5" w:rsidP="00E458FA">
      <w:pPr>
        <w:spacing w:after="288" w:line="240" w:lineRule="auto"/>
        <w:ind w:left="142"/>
        <w:rPr>
          <w:rFonts w:eastAsia="Times New Roman" w:cs="Times New Roman"/>
          <w:bCs/>
          <w:iCs/>
          <w:szCs w:val="24"/>
        </w:rPr>
      </w:pPr>
      <w:r>
        <w:rPr>
          <w:rFonts w:eastAsia="Times New Roman" w:cs="Times New Roman"/>
          <w:bCs/>
          <w:iCs/>
          <w:szCs w:val="24"/>
        </w:rPr>
        <w:t xml:space="preserve">I broadly support the proposed single route and feel the basic ‘license to operate’ is an essential mechanism to ensure that institutions operating within the HE landscape have reached a required benchmark of Quality. </w:t>
      </w:r>
      <w:r w:rsidR="00643A47">
        <w:rPr>
          <w:rFonts w:eastAsia="Times New Roman" w:cs="Times New Roman"/>
          <w:bCs/>
          <w:iCs/>
          <w:szCs w:val="24"/>
        </w:rPr>
        <w:t xml:space="preserve">The consultation suggests that if an institution opts out of of the single gateway then they can continue to operate as at present. This would give Pearson, a for profit business, and other Awarding Organisations offering level 4+ provision, the ability to allow institutions to operate within the HE landscape. Recent history has shown that non-government regulated Quality checks on HE, especially when administered by a business, can result in abuse of the system. Although the consultation document suggests that these providers would not be formally part of the English higher education system, the reality is that they would be a viable alternative for many students. It is therefore extremely important that clear differentiation is made between an institution with a ‘license to operate’ and those without. This could be achieved by branding the ‘license to operate’ so an official graphic was produced which institutions who had achieved this status could use. </w:t>
      </w:r>
      <w:r w:rsidR="00907D1C">
        <w:rPr>
          <w:rFonts w:eastAsia="Times New Roman" w:cs="Times New Roman"/>
          <w:bCs/>
          <w:iCs/>
          <w:szCs w:val="24"/>
        </w:rPr>
        <w:t xml:space="preserve">This would be a basic measure to demonstrate the validity, extra costs and checks on Quality that an institution with a license to operate had achieved. </w:t>
      </w:r>
      <w:r w:rsidR="0047208F">
        <w:rPr>
          <w:rFonts w:eastAsia="Times New Roman" w:cs="Times New Roman"/>
          <w:bCs/>
          <w:iCs/>
          <w:szCs w:val="24"/>
        </w:rPr>
        <w:t xml:space="preserve">The current HEFCE register of HE providers is an important resource to differentiate between regulated and unregulated providers and this should be developed further. One area for development that could be used is a set of metrics used to establish a league table of all HE providers listed on the register. </w:t>
      </w:r>
      <w:r w:rsidR="00153CCD">
        <w:rPr>
          <w:rFonts w:eastAsia="Times New Roman" w:cs="Times New Roman"/>
          <w:bCs/>
          <w:iCs/>
          <w:szCs w:val="24"/>
        </w:rPr>
        <w:t>Th</w:t>
      </w:r>
      <w:r w:rsidR="000A7190">
        <w:rPr>
          <w:rFonts w:eastAsia="Times New Roman" w:cs="Times New Roman"/>
          <w:bCs/>
          <w:iCs/>
          <w:szCs w:val="24"/>
        </w:rPr>
        <w:t>is would be a bold levelling of the playing field which would really put Alternative Providers in the same bracket as HEIs for prospective students.</w:t>
      </w:r>
    </w:p>
    <w:p w14:paraId="0DFBDC58" w14:textId="77777777" w:rsidR="000A7190" w:rsidRDefault="000A7190" w:rsidP="00E458FA">
      <w:pPr>
        <w:spacing w:after="288" w:line="240" w:lineRule="auto"/>
        <w:ind w:left="142"/>
        <w:rPr>
          <w:rFonts w:eastAsia="Times New Roman" w:cs="Times New Roman"/>
          <w:bCs/>
          <w:iCs/>
          <w:szCs w:val="24"/>
        </w:rPr>
      </w:pPr>
      <w:r>
        <w:rPr>
          <w:rFonts w:eastAsia="Times New Roman" w:cs="Times New Roman"/>
          <w:bCs/>
          <w:iCs/>
          <w:szCs w:val="24"/>
        </w:rPr>
        <w:t>The proposal for student funding is well thought out and it is a clear message that any institution that has passed through the gateway</w:t>
      </w:r>
      <w:r w:rsidR="00A408A3">
        <w:rPr>
          <w:rFonts w:eastAsia="Times New Roman" w:cs="Times New Roman"/>
          <w:bCs/>
          <w:iCs/>
          <w:szCs w:val="24"/>
        </w:rPr>
        <w:t xml:space="preserve"> can have the same benefits in terms of public funding. This does have a clear disadvantage for institutions who may not work to a standard academic year, it also dis-incentivises two-year degrees. Two-year degrees are often delivered with as many, or more, contact and study hours as a three-year degree. They are an attractive option for many students, particularly older students looking to upskill or move quickly into employment. The attraction of two-year degrees will also be amplified now that the maintenance grants have been converted to loans therefore adding extra debt to students. With this in mind, moving to a system where students can get funding per </w:t>
      </w:r>
      <w:r w:rsidR="00A408A3">
        <w:rPr>
          <w:rFonts w:eastAsia="Times New Roman" w:cs="Times New Roman"/>
          <w:bCs/>
          <w:iCs/>
          <w:szCs w:val="24"/>
        </w:rPr>
        <w:lastRenderedPageBreak/>
        <w:t>level rather than year would</w:t>
      </w:r>
      <w:r w:rsidR="00EF7DD5">
        <w:rPr>
          <w:rFonts w:eastAsia="Times New Roman" w:cs="Times New Roman"/>
          <w:bCs/>
          <w:iCs/>
          <w:szCs w:val="24"/>
        </w:rPr>
        <w:t xml:space="preserve"> solve this whilst allowing HEIs and Alternative Providers flexibility to offer provision in different modes which will cater for the diversity of student needs without impacting the finances of the institution.</w:t>
      </w:r>
    </w:p>
    <w:p w14:paraId="1240D046" w14:textId="77777777" w:rsidR="0047208F" w:rsidRPr="00E458FA" w:rsidRDefault="0047208F" w:rsidP="00E458FA">
      <w:pPr>
        <w:spacing w:after="288" w:line="240" w:lineRule="auto"/>
        <w:ind w:left="142"/>
        <w:rPr>
          <w:rFonts w:eastAsia="Times New Roman" w:cs="Times New Roman"/>
          <w:bCs/>
          <w:iCs/>
          <w:szCs w:val="24"/>
        </w:rPr>
      </w:pPr>
    </w:p>
    <w:p w14:paraId="2F61F814" w14:textId="77777777" w:rsidR="00E458FA" w:rsidRPr="00E458FA" w:rsidRDefault="00E458FA" w:rsidP="00504C64">
      <w:pPr>
        <w:spacing w:after="288" w:line="240" w:lineRule="auto"/>
        <w:rPr>
          <w:rFonts w:eastAsia="Times New Roman" w:cs="Times New Roman"/>
          <w:bCs/>
          <w:iCs/>
          <w:szCs w:val="24"/>
        </w:rPr>
      </w:pPr>
      <w:r w:rsidRPr="00E458FA">
        <w:rPr>
          <w:rFonts w:eastAsia="Times New Roman" w:cs="Times New Roman"/>
          <w:bCs/>
          <w:iCs/>
          <w:szCs w:val="24"/>
        </w:rPr>
        <w:t>Question 15:</w:t>
      </w:r>
    </w:p>
    <w:p w14:paraId="5C76DFCB" w14:textId="77777777"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risk-based approach to eligibility for degree awarding powers (DAPs) and university title? </w:t>
      </w:r>
    </w:p>
    <w:p w14:paraId="5774685B" w14:textId="3BB60849"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702721"/>
          <w14:checkbox>
            <w14:checked w14:val="1"/>
            <w14:checkedState w14:val="2612" w14:font="MS Gothic"/>
            <w14:uncheckedState w14:val="2610" w14:font="MS Gothic"/>
          </w14:checkbox>
        </w:sdtPr>
        <w:sdtEndPr/>
        <w:sdtContent>
          <w:r w:rsidR="00B0082C">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8027560"/>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41418866"/>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27D43D55"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1441AA4B" w14:textId="6F03B36C" w:rsidR="00E458FA" w:rsidRPr="00E458FA" w:rsidRDefault="002A2544" w:rsidP="00E458FA">
      <w:pPr>
        <w:tabs>
          <w:tab w:val="left" w:pos="567"/>
        </w:tabs>
        <w:spacing w:after="288" w:line="240" w:lineRule="auto"/>
        <w:ind w:left="142" w:right="11"/>
        <w:rPr>
          <w:rFonts w:eastAsia="Times New Roman" w:cs="Arial"/>
          <w:szCs w:val="24"/>
        </w:rPr>
      </w:pPr>
      <w:r>
        <w:rPr>
          <w:rFonts w:eastAsia="Times New Roman" w:cs="Arial"/>
          <w:szCs w:val="24"/>
        </w:rPr>
        <w:t>Firstly,</w:t>
      </w:r>
      <w:r w:rsidR="007B4B3D">
        <w:rPr>
          <w:rFonts w:eastAsia="Times New Roman" w:cs="Arial"/>
          <w:szCs w:val="24"/>
        </w:rPr>
        <w:t xml:space="preserve"> I would urge the non-legislative </w:t>
      </w:r>
      <w:r>
        <w:rPr>
          <w:rFonts w:eastAsia="Times New Roman" w:cs="Arial"/>
          <w:szCs w:val="24"/>
        </w:rPr>
        <w:t xml:space="preserve">criterion for applying for DAP to be amended. In particular, the requirement for an institution to be delivering at level 6 for 4 years is a huge barrier to many institutions. If a new provider was to start offering a degree it would not be until the third year that the first cohort started studying at level 6 and then a further 4 years before sufficient track record had been built up. This extends the time period to 6 years for a provider launching their first degree course. Fulfilling our Potential does state that the </w:t>
      </w:r>
      <w:r w:rsidR="00174D26">
        <w:rPr>
          <w:rFonts w:eastAsia="Times New Roman" w:cs="Arial"/>
          <w:szCs w:val="24"/>
        </w:rPr>
        <w:t>four-year</w:t>
      </w:r>
      <w:r>
        <w:rPr>
          <w:rFonts w:eastAsia="Times New Roman" w:cs="Arial"/>
          <w:szCs w:val="24"/>
        </w:rPr>
        <w:t xml:space="preserve"> track record is currently under review with a view to reducing this to three years however this is an unsubstantial change for a criterion that is not currently bound by legislation. This would simply reduce the time from 6 years to 5 years for an institution launching their first degree</w:t>
      </w:r>
      <w:r w:rsidR="00174D26">
        <w:rPr>
          <w:rFonts w:eastAsia="Times New Roman" w:cs="Arial"/>
          <w:szCs w:val="24"/>
        </w:rPr>
        <w:t xml:space="preserve">. This is still an entire term of parliament </w:t>
      </w:r>
      <w:r w:rsidR="00CF4CD2">
        <w:rPr>
          <w:rFonts w:eastAsia="Times New Roman" w:cs="Arial"/>
          <w:szCs w:val="24"/>
        </w:rPr>
        <w:t>and therefore aiming to secure DAP cannot be a long term strategic plan for an Alternative Provider launching their first degree as future Governments may have a different view on opening up the sector. As the four-year, level 6 rule is not in legislation, only guidance, there worry is that the successive Government could amend any changes made in this term without creating new legislation.</w:t>
      </w:r>
      <w:r w:rsidR="00EB72A7">
        <w:rPr>
          <w:rFonts w:eastAsia="Times New Roman" w:cs="Arial"/>
          <w:szCs w:val="24"/>
        </w:rPr>
        <w:t xml:space="preserve"> As many current Alternative Providers on the HEFCE register are currently delivering level 4 and 5 qualifications, be they HNCs/HNDs or </w:t>
      </w:r>
      <w:proofErr w:type="spellStart"/>
      <w:r w:rsidR="00EB72A7">
        <w:rPr>
          <w:rFonts w:eastAsia="Times New Roman" w:cs="Arial"/>
          <w:szCs w:val="24"/>
        </w:rPr>
        <w:t>CertHE</w:t>
      </w:r>
      <w:proofErr w:type="spellEnd"/>
      <w:r w:rsidR="00EB72A7">
        <w:rPr>
          <w:rFonts w:eastAsia="Times New Roman" w:cs="Arial"/>
          <w:szCs w:val="24"/>
        </w:rPr>
        <w:t>/</w:t>
      </w:r>
      <w:proofErr w:type="spellStart"/>
      <w:r w:rsidR="00EB72A7">
        <w:rPr>
          <w:rFonts w:eastAsia="Times New Roman" w:cs="Arial"/>
          <w:szCs w:val="24"/>
        </w:rPr>
        <w:t>DipHE</w:t>
      </w:r>
      <w:proofErr w:type="spellEnd"/>
      <w:r w:rsidR="00EB72A7">
        <w:rPr>
          <w:rFonts w:eastAsia="Times New Roman" w:cs="Arial"/>
          <w:szCs w:val="24"/>
        </w:rPr>
        <w:t xml:space="preserve">, and are reviewed by the QAA and designated by HEFCE, I would </w:t>
      </w:r>
      <w:r w:rsidR="000E2FD4">
        <w:rPr>
          <w:rFonts w:eastAsia="Times New Roman" w:cs="Arial"/>
          <w:szCs w:val="24"/>
        </w:rPr>
        <w:t>strongly</w:t>
      </w:r>
      <w:r w:rsidR="00EB72A7">
        <w:rPr>
          <w:rFonts w:eastAsia="Times New Roman" w:cs="Arial"/>
          <w:szCs w:val="24"/>
        </w:rPr>
        <w:t xml:space="preserve"> suggest that the academic track record does not focus on level 6 but rather focused on a track record of deliver HE provision at level 4, 5 or 6. This would allow current Alternative Providers successfully delivering sub-level 6 HE to use the substantial track record they have built up towards their application for DAP. Whilst the current review of the four-year rule is currently being completed I would ask that the relaxing of the level 6 rule is explored alongside this.</w:t>
      </w:r>
    </w:p>
    <w:p w14:paraId="362EAC81" w14:textId="61D6D7E2" w:rsidR="00E458FA" w:rsidRDefault="0084263B" w:rsidP="00E458FA">
      <w:pPr>
        <w:tabs>
          <w:tab w:val="left" w:pos="567"/>
        </w:tabs>
        <w:spacing w:after="288" w:line="240" w:lineRule="auto"/>
        <w:ind w:left="142" w:right="11"/>
        <w:rPr>
          <w:rFonts w:eastAsia="Times New Roman" w:cs="Arial"/>
          <w:szCs w:val="24"/>
        </w:rPr>
      </w:pPr>
      <w:r>
        <w:rPr>
          <w:rFonts w:eastAsia="Times New Roman" w:cs="Arial"/>
          <w:szCs w:val="24"/>
        </w:rPr>
        <w:t xml:space="preserve">The FSMG checks are a far more important </w:t>
      </w:r>
      <w:r w:rsidR="00803593">
        <w:rPr>
          <w:rFonts w:eastAsia="Times New Roman" w:cs="Arial"/>
          <w:szCs w:val="24"/>
        </w:rPr>
        <w:t>criterion</w:t>
      </w:r>
      <w:r>
        <w:rPr>
          <w:rFonts w:eastAsia="Times New Roman" w:cs="Arial"/>
          <w:szCs w:val="24"/>
        </w:rPr>
        <w:t xml:space="preserve"> for the awarding of DAP as this provides information about the running and short + long term sustainability of the organisation. The danger for an institution delivering its own degrees is that there will be no articulation arrangements at a partner University for students to transfer to an equivalent programme if the main institution ceases trading. Although FSMG checks will form part of the license to operate </w:t>
      </w:r>
      <w:r w:rsidR="00803593">
        <w:rPr>
          <w:rFonts w:eastAsia="Times New Roman" w:cs="Arial"/>
          <w:szCs w:val="24"/>
        </w:rPr>
        <w:t xml:space="preserve">this may not be robust enough for an institution effectively working independently in the sector. If an institution is financially sound, has effective management and governance in place and has a track record of delivering education provision effectively, with a focus on HE </w:t>
      </w:r>
      <w:r w:rsidR="00803593">
        <w:rPr>
          <w:rFonts w:eastAsia="Times New Roman" w:cs="Arial"/>
          <w:szCs w:val="24"/>
        </w:rPr>
        <w:lastRenderedPageBreak/>
        <w:t>provision from level 4+ then it should not be a barrier that there is little experience delivering level 6 qualifications, especially if a percentage of the academic staff does have prior experience teaching at this level or above.</w:t>
      </w:r>
    </w:p>
    <w:p w14:paraId="060B50FF" w14:textId="77777777" w:rsidR="00394D81" w:rsidRDefault="00DE18B9" w:rsidP="00E458FA">
      <w:pPr>
        <w:tabs>
          <w:tab w:val="left" w:pos="567"/>
        </w:tabs>
        <w:spacing w:after="288" w:line="240" w:lineRule="auto"/>
        <w:ind w:left="142" w:right="11"/>
        <w:rPr>
          <w:rFonts w:eastAsia="Times New Roman" w:cs="Arial"/>
          <w:szCs w:val="24"/>
        </w:rPr>
      </w:pPr>
      <w:r>
        <w:rPr>
          <w:rFonts w:eastAsia="Times New Roman" w:cs="Arial"/>
          <w:szCs w:val="24"/>
        </w:rPr>
        <w:t xml:space="preserve">The proposal to </w:t>
      </w:r>
      <w:r w:rsidR="00592FB8">
        <w:rPr>
          <w:rFonts w:eastAsia="Times New Roman" w:cs="Arial"/>
          <w:szCs w:val="24"/>
        </w:rPr>
        <w:t xml:space="preserve">grant DAP initially for a time limited period, on a course or institution level and/or with some restrictions, such as not having the ability to validate the provision of others, will help make the application of DAPs proportionate to the required outcome. An example of how this would positively affect my organisation, Point Blank Music School, is as follows. We wish to grant our own degrees, we have a track record of delivering HE provision and have a strong track record of positive QAA and ISI inspections. </w:t>
      </w:r>
      <w:r w:rsidR="00E0511E">
        <w:rPr>
          <w:rFonts w:eastAsia="Times New Roman" w:cs="Arial"/>
          <w:szCs w:val="24"/>
        </w:rPr>
        <w:t>We are a single subject institution and would initially wish to deliver one degree. Over the next 5 years we would want to expand our portfolio to cover an additional 4 degrees within this subject to offer choices to the students. We are a small, private institution with a dedicated office/admin team supporting course developers. We can put together a new module or wrap a number of modules into a course quite quickly and can be very proactive. At present we are validated by a partner university who substantially slow down the process of getting a new qualification to market. We have to seek programme approval when we have the required level of expertise in-house. Our plans are scrutinised by University boards who have different priorities to us, for example we are keen to deliver a two-year qualification but this is not financially beneficial to the partner university who receive an annual fee based on student numbers. At present our plans are being held up due to concerns that there may be conflicts of interest with other Alternative Providers validated by the same University, essentially our competitors. We feel uneasy that a competitor is privy to prior information about our strategic plans, and outraged that another partner, a competitor, can potentially block us from expanding our provision. If this happens our only option is to seek a new, different partner and the process to get institutional approval takes a minimum of two-years. This effectively means that a course we could have to market in four months if we had DAP will take upwards of three-years once it has been considered, discussed and adapted by our partner University, rejected by our competitor</w:t>
      </w:r>
      <w:r w:rsidR="00394D81">
        <w:rPr>
          <w:rFonts w:eastAsia="Times New Roman" w:cs="Arial"/>
          <w:szCs w:val="24"/>
        </w:rPr>
        <w:t xml:space="preserve">, we have found a new partner and gone through their approval process and the qualification is finally approved by a new partner. </w:t>
      </w:r>
    </w:p>
    <w:p w14:paraId="1100794F" w14:textId="788C9D4D" w:rsidR="007F10F1" w:rsidRDefault="00394D81" w:rsidP="00E458FA">
      <w:pPr>
        <w:tabs>
          <w:tab w:val="left" w:pos="567"/>
        </w:tabs>
        <w:spacing w:after="288" w:line="240" w:lineRule="auto"/>
        <w:ind w:left="142" w:right="11"/>
        <w:rPr>
          <w:rFonts w:eastAsia="Times New Roman" w:cs="Arial"/>
          <w:szCs w:val="24"/>
        </w:rPr>
      </w:pPr>
      <w:r>
        <w:rPr>
          <w:rFonts w:eastAsia="Times New Roman" w:cs="Arial"/>
          <w:szCs w:val="24"/>
        </w:rPr>
        <w:t xml:space="preserve">The reason for that example is to highlight the anti-competitive environment of the current system whilst demonstrating the laborious delays that working with a partner institution can cause. As a business we want to be proactive and get our ideas to market efficiently. If we decide that a new course is a priority then we can manage our resources to make it happen whilst at present we cannot effectively manage our resources as we are subject to the whims, timescales and priorities of a partner university. This links to the proportionate approach needed for applying for DAPs. On a simplistic level, if we were granted DAP for one course in one subject and then folded a number of students would be affected. If we </w:t>
      </w:r>
      <w:r w:rsidR="00180B01">
        <w:rPr>
          <w:rFonts w:eastAsia="Times New Roman" w:cs="Arial"/>
          <w:szCs w:val="24"/>
        </w:rPr>
        <w:t xml:space="preserve">were </w:t>
      </w:r>
      <w:r>
        <w:rPr>
          <w:rFonts w:eastAsia="Times New Roman" w:cs="Arial"/>
          <w:szCs w:val="24"/>
        </w:rPr>
        <w:t xml:space="preserve">granted DAP at an institutional level and ran a number of courses across a number of subjects and </w:t>
      </w:r>
      <w:r w:rsidR="00180B01">
        <w:rPr>
          <w:rFonts w:eastAsia="Times New Roman" w:cs="Arial"/>
          <w:szCs w:val="24"/>
        </w:rPr>
        <w:t>subsequently</w:t>
      </w:r>
      <w:r>
        <w:rPr>
          <w:rFonts w:eastAsia="Times New Roman" w:cs="Arial"/>
          <w:szCs w:val="24"/>
        </w:rPr>
        <w:t xml:space="preserve"> </w:t>
      </w:r>
      <w:r w:rsidR="00180B01">
        <w:rPr>
          <w:rFonts w:eastAsia="Times New Roman" w:cs="Arial"/>
          <w:szCs w:val="24"/>
        </w:rPr>
        <w:t>folded,</w:t>
      </w:r>
      <w:r>
        <w:rPr>
          <w:rFonts w:eastAsia="Times New Roman" w:cs="Arial"/>
          <w:szCs w:val="24"/>
        </w:rPr>
        <w:t xml:space="preserve"> then a </w:t>
      </w:r>
      <w:r w:rsidR="00180B01">
        <w:rPr>
          <w:rFonts w:eastAsia="Times New Roman" w:cs="Arial"/>
          <w:szCs w:val="24"/>
        </w:rPr>
        <w:t>greater number of students would be affected. If we had DAP and validated other institutions then even more students, across a number of institutions would be affected. Although for any students affected by the above</w:t>
      </w:r>
      <w:r w:rsidR="00CD161B">
        <w:rPr>
          <w:rFonts w:eastAsia="Times New Roman" w:cs="Arial"/>
          <w:szCs w:val="24"/>
        </w:rPr>
        <w:t xml:space="preserve"> would have damaging consequences, the fact is that different intentions of having DAP will have a proportionate affect when looking at student </w:t>
      </w:r>
      <w:r w:rsidR="00CD161B">
        <w:rPr>
          <w:rFonts w:eastAsia="Times New Roman" w:cs="Arial"/>
          <w:szCs w:val="24"/>
        </w:rPr>
        <w:lastRenderedPageBreak/>
        <w:t xml:space="preserve">numbers. As highlighted in the case study from my institution, we just want DAP for one programme in one subject and therefore a lighter touch approach can be taken to awarding DAP, providing a certain level of Quality controls are applied. </w:t>
      </w:r>
      <w:r w:rsidR="00863BEB">
        <w:rPr>
          <w:rFonts w:eastAsia="Times New Roman" w:cs="Arial"/>
          <w:szCs w:val="24"/>
        </w:rPr>
        <w:t>Therefore,</w:t>
      </w:r>
      <w:r w:rsidR="00CD161B">
        <w:rPr>
          <w:rFonts w:eastAsia="Times New Roman" w:cs="Arial"/>
          <w:szCs w:val="24"/>
        </w:rPr>
        <w:t xml:space="preserve"> I welcome the proposals of having a tiered approach to the DAP application process where institutions can apply for different levels of institutional responsibility with a proportionate approach taken to the application criteria.</w:t>
      </w:r>
    </w:p>
    <w:p w14:paraId="4AFD124C" w14:textId="028B16CA" w:rsidR="00AC7ADA" w:rsidRDefault="00AC7ADA" w:rsidP="00E458FA">
      <w:pPr>
        <w:tabs>
          <w:tab w:val="left" w:pos="567"/>
        </w:tabs>
        <w:spacing w:after="288" w:line="240" w:lineRule="auto"/>
        <w:ind w:left="142" w:right="11"/>
        <w:rPr>
          <w:rFonts w:eastAsia="Times New Roman" w:cs="Arial"/>
          <w:szCs w:val="24"/>
        </w:rPr>
      </w:pPr>
      <w:r>
        <w:rPr>
          <w:rFonts w:eastAsia="Times New Roman" w:cs="Arial"/>
          <w:szCs w:val="24"/>
        </w:rPr>
        <w:t>Finally, I also welcome the</w:t>
      </w:r>
      <w:r w:rsidR="00FB0D04">
        <w:rPr>
          <w:rFonts w:eastAsia="Times New Roman" w:cs="Arial"/>
          <w:szCs w:val="24"/>
        </w:rPr>
        <w:t xml:space="preserve"> suggestion that DAP could be awarded on a 6-yearly renewable basis to institutions with a limited evidence base. This would allow a new provider to build up a track record whilst offering their own degrees. I feel that the checks on Quality need to be robust to ensure that there are not problems further down the line with large numbers of new providers failing during the provisional DAP period as this would have a hugely negative impact on the sector and the impression of genuine alternative providers. The caveat to this endorsement is that in order to maintain a competitive, level-playing field, all institutions with DAP</w:t>
      </w:r>
      <w:r w:rsidR="005A2368">
        <w:rPr>
          <w:rFonts w:eastAsia="Times New Roman" w:cs="Arial"/>
          <w:szCs w:val="24"/>
        </w:rPr>
        <w:t xml:space="preserve"> or UT, including established HEIs</w:t>
      </w:r>
      <w:r w:rsidR="000A73B0">
        <w:rPr>
          <w:rFonts w:eastAsia="Times New Roman" w:cs="Arial"/>
          <w:szCs w:val="24"/>
        </w:rPr>
        <w:t>,</w:t>
      </w:r>
      <w:r w:rsidR="00FB0D04">
        <w:rPr>
          <w:rFonts w:eastAsia="Times New Roman" w:cs="Arial"/>
          <w:szCs w:val="24"/>
        </w:rPr>
        <w:t xml:space="preserve"> should be subject to the the third bullet point in paragraph 13 concerning the removal of DAP where performance was a concern. This would ensure that there was not a two-tier system in Higher Education</w:t>
      </w:r>
      <w:r w:rsidR="000A73B0">
        <w:rPr>
          <w:rFonts w:eastAsia="Times New Roman" w:cs="Arial"/>
          <w:szCs w:val="24"/>
        </w:rPr>
        <w:t>,</w:t>
      </w:r>
      <w:r w:rsidR="00FB0D04">
        <w:rPr>
          <w:rFonts w:eastAsia="Times New Roman" w:cs="Arial"/>
          <w:szCs w:val="24"/>
        </w:rPr>
        <w:t xml:space="preserve"> with all HEIs and AP’s being treated equally when grave concerns arose about the quality of provision and the student experience.</w:t>
      </w:r>
    </w:p>
    <w:p w14:paraId="31CA72F6" w14:textId="77777777" w:rsidR="00803593" w:rsidRDefault="00803593" w:rsidP="00E458FA">
      <w:pPr>
        <w:tabs>
          <w:tab w:val="left" w:pos="567"/>
        </w:tabs>
        <w:spacing w:after="288" w:line="240" w:lineRule="auto"/>
        <w:ind w:left="142" w:right="11"/>
        <w:rPr>
          <w:rFonts w:eastAsia="Times New Roman" w:cs="Arial"/>
          <w:szCs w:val="24"/>
        </w:rPr>
      </w:pPr>
    </w:p>
    <w:p w14:paraId="3EA910DF" w14:textId="77777777" w:rsidR="00803593" w:rsidRPr="00E458FA" w:rsidRDefault="00803593" w:rsidP="00E458FA">
      <w:pPr>
        <w:tabs>
          <w:tab w:val="left" w:pos="567"/>
        </w:tabs>
        <w:spacing w:after="288" w:line="240" w:lineRule="auto"/>
        <w:ind w:left="142" w:right="11"/>
        <w:rPr>
          <w:rFonts w:eastAsia="Times New Roman" w:cs="Arial"/>
          <w:szCs w:val="24"/>
        </w:rPr>
      </w:pPr>
    </w:p>
    <w:p w14:paraId="379C9F9D" w14:textId="77777777" w:rsidR="00E458FA" w:rsidRPr="00E458FA" w:rsidRDefault="00E458FA" w:rsidP="00E458FA">
      <w:pPr>
        <w:tabs>
          <w:tab w:val="left" w:pos="567"/>
        </w:tabs>
        <w:spacing w:after="288" w:line="240" w:lineRule="auto"/>
        <w:ind w:left="142" w:right="11"/>
        <w:rPr>
          <w:rFonts w:eastAsia="Times New Roman" w:cs="Arial"/>
          <w:szCs w:val="24"/>
        </w:rPr>
      </w:pPr>
    </w:p>
    <w:p w14:paraId="0EA42035" w14:textId="77777777"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options identified for validation of courses delivered b</w:t>
      </w:r>
      <w:r w:rsidR="00000F71">
        <w:rPr>
          <w:rFonts w:eastAsia="Times New Roman" w:cs="Arial"/>
          <w:szCs w:val="24"/>
        </w:rPr>
        <w:t>y providers who do not hold DAPs</w:t>
      </w:r>
      <w:r w:rsidRPr="00E458FA">
        <w:rPr>
          <w:rFonts w:eastAsia="Times New Roman" w:cs="Arial"/>
          <w:szCs w:val="24"/>
        </w:rPr>
        <w:t xml:space="preserve">? </w:t>
      </w:r>
    </w:p>
    <w:p w14:paraId="49744062" w14:textId="30C9F38F" w:rsidR="00E458FA" w:rsidRDefault="00FD08E8" w:rsidP="00E458FA">
      <w:pPr>
        <w:tabs>
          <w:tab w:val="left" w:pos="567"/>
        </w:tabs>
        <w:spacing w:after="288" w:line="240" w:lineRule="auto"/>
        <w:ind w:right="11"/>
        <w:rPr>
          <w:rFonts w:eastAsia="Times New Roman" w:cs="Arial"/>
          <w:szCs w:val="24"/>
        </w:rPr>
      </w:pPr>
      <w:r>
        <w:rPr>
          <w:rFonts w:eastAsia="Times New Roman" w:cs="Arial"/>
          <w:szCs w:val="24"/>
        </w:rPr>
        <w:t>The case study from my institution outlined in part A</w:t>
      </w:r>
      <w:r w:rsidR="007873FB">
        <w:rPr>
          <w:rFonts w:eastAsia="Times New Roman" w:cs="Arial"/>
          <w:szCs w:val="24"/>
        </w:rPr>
        <w:t xml:space="preserve"> of this question highlights the struggles we have faced when attempting to expand our provision by gaining validation for our degree. In part A I framed it in the context of the benefits DAP would offer my institution but the example also highlights the benefits we could gain by having a ‘validating body of last resort’. This would at least ensure that our proposed provision could go ahead, although it perhaps would not address the additional time burden that working with a third party can create.</w:t>
      </w:r>
    </w:p>
    <w:p w14:paraId="397AA2F2" w14:textId="646D858E" w:rsidR="007873FB" w:rsidRDefault="00CA2268" w:rsidP="00E458FA">
      <w:pPr>
        <w:tabs>
          <w:tab w:val="left" w:pos="567"/>
        </w:tabs>
        <w:spacing w:after="288" w:line="240" w:lineRule="auto"/>
        <w:ind w:right="11"/>
        <w:rPr>
          <w:rFonts w:eastAsia="Times New Roman" w:cs="Arial"/>
          <w:szCs w:val="24"/>
        </w:rPr>
      </w:pPr>
      <w:r>
        <w:rPr>
          <w:rFonts w:eastAsia="Times New Roman" w:cs="Arial"/>
          <w:szCs w:val="24"/>
        </w:rPr>
        <w:t>If the Office for Students were to take on a validating role, then are concerns over whether</w:t>
      </w:r>
      <w:r w:rsidR="007873FB">
        <w:rPr>
          <w:rFonts w:eastAsia="Times New Roman" w:cs="Arial"/>
          <w:szCs w:val="24"/>
        </w:rPr>
        <w:t xml:space="preserve"> a broad base of subject specialists </w:t>
      </w:r>
      <w:r>
        <w:rPr>
          <w:rFonts w:eastAsia="Times New Roman" w:cs="Arial"/>
          <w:szCs w:val="24"/>
        </w:rPr>
        <w:t xml:space="preserve">would be available </w:t>
      </w:r>
      <w:r w:rsidR="007873FB">
        <w:rPr>
          <w:rFonts w:eastAsia="Times New Roman" w:cs="Arial"/>
          <w:szCs w:val="24"/>
        </w:rPr>
        <w:t xml:space="preserve">to </w:t>
      </w:r>
      <w:r>
        <w:rPr>
          <w:rFonts w:eastAsia="Times New Roman" w:cs="Arial"/>
          <w:szCs w:val="24"/>
        </w:rPr>
        <w:t xml:space="preserve">explore the content of a new programme in intricate enough detail to </w:t>
      </w:r>
      <w:r w:rsidR="007873FB">
        <w:rPr>
          <w:rFonts w:eastAsia="Times New Roman" w:cs="Arial"/>
          <w:szCs w:val="24"/>
        </w:rPr>
        <w:t>validate provision</w:t>
      </w:r>
      <w:r>
        <w:rPr>
          <w:rFonts w:eastAsia="Times New Roman" w:cs="Arial"/>
          <w:szCs w:val="24"/>
        </w:rPr>
        <w:t xml:space="preserve">. Institutions would also need the validation process to be available throughout the year rather than in designated windows. To make this work a pool of subject specialists may need to be available in a range of subjects to ensure the required expertise was available. The problem here would lie in the ad hoc nature of new provision being proposed. How quickly could a disparate group of experts meet and evaluate new a new programme and would this add an even greater time burden to the validation process than at present. If this work was contracted out to another body then </w:t>
      </w:r>
      <w:r w:rsidR="007C01F2">
        <w:rPr>
          <w:rFonts w:eastAsia="Times New Roman" w:cs="Arial"/>
          <w:szCs w:val="24"/>
        </w:rPr>
        <w:t xml:space="preserve">the immediately obvious choices with a broad range of expertise would be an established University or a current Awarding Organisation. From experience I would </w:t>
      </w:r>
      <w:r w:rsidR="007C01F2">
        <w:rPr>
          <w:rFonts w:eastAsia="Times New Roman" w:cs="Arial"/>
          <w:szCs w:val="24"/>
        </w:rPr>
        <w:lastRenderedPageBreak/>
        <w:t xml:space="preserve">have grave concerns about an awarding organisation being contracted to validate provision as they themselves have to contract subject experts to support the development of their own new provision. If an existing body with DAPs, </w:t>
      </w:r>
      <w:proofErr w:type="spellStart"/>
      <w:r w:rsidR="007C01F2">
        <w:rPr>
          <w:rFonts w:eastAsia="Times New Roman" w:cs="Arial"/>
          <w:szCs w:val="24"/>
        </w:rPr>
        <w:t>i.e</w:t>
      </w:r>
      <w:proofErr w:type="spellEnd"/>
      <w:r w:rsidR="007C01F2">
        <w:rPr>
          <w:rFonts w:eastAsia="Times New Roman" w:cs="Arial"/>
          <w:szCs w:val="24"/>
        </w:rPr>
        <w:t xml:space="preserve"> a University, was contracted then the same problems of time and resource currently present in the existing validation arrangement will continue to be an issue. If the ‘validating body of last resort’ was a </w:t>
      </w:r>
      <w:r w:rsidR="009758E0">
        <w:rPr>
          <w:rFonts w:eastAsia="Times New Roman" w:cs="Arial"/>
          <w:szCs w:val="24"/>
        </w:rPr>
        <w:t>University,</w:t>
      </w:r>
      <w:r w:rsidR="007C01F2">
        <w:rPr>
          <w:rFonts w:eastAsia="Times New Roman" w:cs="Arial"/>
          <w:szCs w:val="24"/>
        </w:rPr>
        <w:t xml:space="preserve"> then this makes using it a particularly unattractive option for an AP currently delivering some programmes with a different partner University. </w:t>
      </w:r>
      <w:r w:rsidR="009758E0">
        <w:rPr>
          <w:rFonts w:eastAsia="Times New Roman" w:cs="Arial"/>
          <w:szCs w:val="24"/>
        </w:rPr>
        <w:t xml:space="preserve">The other question concerns the role the ‘validating partner of last resort’ plays once the provision has been approved. If an institution has the majority of it’s provision approved by one partner University and one programme validated by the Office for Students, or a contracted body of the </w:t>
      </w:r>
      <w:proofErr w:type="spellStart"/>
      <w:r w:rsidR="009758E0">
        <w:rPr>
          <w:rFonts w:eastAsia="Times New Roman" w:cs="Arial"/>
          <w:szCs w:val="24"/>
        </w:rPr>
        <w:t>OfS</w:t>
      </w:r>
      <w:proofErr w:type="spellEnd"/>
      <w:r w:rsidR="009758E0">
        <w:rPr>
          <w:rFonts w:eastAsia="Times New Roman" w:cs="Arial"/>
          <w:szCs w:val="24"/>
        </w:rPr>
        <w:t>, then the exiled programme will not fall under the Assessment Board arrangements in place with the existing partner. There would also be the question of what name(s) appear on the final certificate and how confusing it could be for a potential student to see provision validated by different bodies.</w:t>
      </w:r>
    </w:p>
    <w:p w14:paraId="6E0065DB" w14:textId="794D7D26" w:rsidR="00F62B36" w:rsidRDefault="00F62B36" w:rsidP="00E458FA">
      <w:pPr>
        <w:tabs>
          <w:tab w:val="left" w:pos="567"/>
        </w:tabs>
        <w:spacing w:after="288" w:line="240" w:lineRule="auto"/>
        <w:ind w:right="11"/>
        <w:rPr>
          <w:rFonts w:eastAsia="Times New Roman" w:cs="Arial"/>
          <w:szCs w:val="24"/>
        </w:rPr>
      </w:pPr>
      <w:r>
        <w:rPr>
          <w:rFonts w:eastAsia="Times New Roman" w:cs="Arial"/>
          <w:szCs w:val="24"/>
        </w:rPr>
        <w:t>The final obvious, and perhaps most attractive, option</w:t>
      </w:r>
      <w:r w:rsidR="00FC1EAD">
        <w:rPr>
          <w:rFonts w:eastAsia="Times New Roman" w:cs="Arial"/>
          <w:szCs w:val="24"/>
        </w:rPr>
        <w:t xml:space="preserve"> would be for the validation role to be undertaken by the QAA. Programmes are already mapped to their benchmark statements and the same team of subject experts could have their remit widened to cover a number of validation meetings each year when new provision is approved. The QAA would also have insight into individual institutions and will be knowledgeable about their quality systems and ability to run a programme, particularly if this is linked with Annual Monitoring. This option would also negate the need for institutional approval and would ease the administrative burden on institutions going through the process of validating a new programme.</w:t>
      </w:r>
    </w:p>
    <w:p w14:paraId="7C3DA846" w14:textId="3E496C56" w:rsidR="009758E0" w:rsidRDefault="009758E0" w:rsidP="00E458FA">
      <w:pPr>
        <w:tabs>
          <w:tab w:val="left" w:pos="567"/>
        </w:tabs>
        <w:spacing w:after="288" w:line="240" w:lineRule="auto"/>
        <w:ind w:right="11"/>
        <w:rPr>
          <w:rFonts w:eastAsia="Times New Roman" w:cs="Arial"/>
          <w:szCs w:val="24"/>
        </w:rPr>
      </w:pPr>
      <w:r>
        <w:rPr>
          <w:rFonts w:eastAsia="Times New Roman" w:cs="Arial"/>
          <w:szCs w:val="24"/>
        </w:rPr>
        <w:t xml:space="preserve">If the </w:t>
      </w:r>
      <w:proofErr w:type="spellStart"/>
      <w:r>
        <w:rPr>
          <w:rFonts w:eastAsia="Times New Roman" w:cs="Arial"/>
          <w:szCs w:val="24"/>
        </w:rPr>
        <w:t>OfS</w:t>
      </w:r>
      <w:proofErr w:type="spellEnd"/>
      <w:r>
        <w:rPr>
          <w:rFonts w:eastAsia="Times New Roman" w:cs="Arial"/>
          <w:szCs w:val="24"/>
        </w:rPr>
        <w:t xml:space="preserve"> validated provision resulted in the validated course having the institution’s name on the final </w:t>
      </w:r>
      <w:r w:rsidR="004A0190">
        <w:rPr>
          <w:rFonts w:eastAsia="Times New Roman" w:cs="Arial"/>
          <w:szCs w:val="24"/>
        </w:rPr>
        <w:t>certificate,</w:t>
      </w:r>
      <w:r>
        <w:rPr>
          <w:rFonts w:eastAsia="Times New Roman" w:cs="Arial"/>
          <w:szCs w:val="24"/>
        </w:rPr>
        <w:t xml:space="preserve"> then this would basically be akin to an institution contracting the </w:t>
      </w:r>
      <w:proofErr w:type="spellStart"/>
      <w:r>
        <w:rPr>
          <w:rFonts w:eastAsia="Times New Roman" w:cs="Arial"/>
          <w:szCs w:val="24"/>
        </w:rPr>
        <w:t>OfS</w:t>
      </w:r>
      <w:proofErr w:type="spellEnd"/>
      <w:r>
        <w:rPr>
          <w:rFonts w:eastAsia="Times New Roman" w:cs="Arial"/>
          <w:szCs w:val="24"/>
        </w:rPr>
        <w:t xml:space="preserve"> to approve an internally written degree with the main institution’s name on it. This would then be an attractive option for institutions who may not have the resource or expertise to fully consider the academic standards of a proposed course whilst still delivering the qualification autonomously.</w:t>
      </w:r>
    </w:p>
    <w:p w14:paraId="74C7EF6A" w14:textId="77777777" w:rsidR="00DE35CF" w:rsidRDefault="00DE35CF" w:rsidP="00E458FA">
      <w:pPr>
        <w:tabs>
          <w:tab w:val="left" w:pos="567"/>
        </w:tabs>
        <w:spacing w:after="288" w:line="240" w:lineRule="auto"/>
        <w:ind w:right="11"/>
        <w:rPr>
          <w:rFonts w:eastAsia="Times New Roman" w:cs="Arial"/>
          <w:szCs w:val="24"/>
        </w:rPr>
      </w:pPr>
      <w:r>
        <w:rPr>
          <w:rFonts w:eastAsia="Times New Roman" w:cs="Arial"/>
          <w:szCs w:val="24"/>
        </w:rPr>
        <w:t xml:space="preserve">If non-teaching bodies are allowed to be granted DAP this could open up the possibility of an AP, or even an HEI, picking a degree off the shelf in the same way as happens with HNCs/HNDs. This throws up obvious concerns with recent history in mind. Essentially, any institution who wants to deliver a degree will be able to pick one off the shelf and run validated provision. Quality assessment of these institutions would then fall to the non-teaching body with DAPs and these arrangements may not be robust enough to ensure that standards are met. As the non-teaching body would be unlikely to have practicing academics within their ranks there is a question about validity of the qualification and how adaptable a programme specification would be once launched. </w:t>
      </w:r>
    </w:p>
    <w:p w14:paraId="09206A48" w14:textId="3097AE5F" w:rsidR="00DE35CF" w:rsidRPr="00E458FA" w:rsidRDefault="00DE35CF" w:rsidP="00E458FA">
      <w:pPr>
        <w:tabs>
          <w:tab w:val="left" w:pos="567"/>
        </w:tabs>
        <w:spacing w:after="288" w:line="240" w:lineRule="auto"/>
        <w:ind w:right="11"/>
        <w:rPr>
          <w:rFonts w:eastAsia="Times New Roman" w:cs="Arial"/>
          <w:szCs w:val="24"/>
        </w:rPr>
      </w:pPr>
      <w:r>
        <w:rPr>
          <w:rFonts w:eastAsia="Times New Roman" w:cs="Arial"/>
          <w:szCs w:val="24"/>
        </w:rPr>
        <w:t xml:space="preserve">The above assumes that a non-teaching body, such as Pearson, would use their DAP to write and validate full degrees rather than stopping at level 4 + 5. However, their remit could be broader, allowing non-teaching bodies with DAP to validate the provision of others without the obvious constraints of the conflict of interest issue that currently is present in the </w:t>
      </w:r>
      <w:r w:rsidR="004A0190">
        <w:rPr>
          <w:rFonts w:eastAsia="Times New Roman" w:cs="Arial"/>
          <w:szCs w:val="24"/>
        </w:rPr>
        <w:t>existing</w:t>
      </w:r>
      <w:r>
        <w:rPr>
          <w:rFonts w:eastAsia="Times New Roman" w:cs="Arial"/>
          <w:szCs w:val="24"/>
        </w:rPr>
        <w:t xml:space="preserve"> validation arrangements. If the latter point occurs, as it almost certainly will, then this will amount to a</w:t>
      </w:r>
      <w:r w:rsidR="002044C4">
        <w:rPr>
          <w:rFonts w:eastAsia="Times New Roman" w:cs="Arial"/>
          <w:szCs w:val="24"/>
        </w:rPr>
        <w:t xml:space="preserve">n opening up of the ‘validating </w:t>
      </w:r>
      <w:r w:rsidR="002044C4">
        <w:rPr>
          <w:rFonts w:eastAsia="Times New Roman" w:cs="Arial"/>
          <w:szCs w:val="24"/>
        </w:rPr>
        <w:lastRenderedPageBreak/>
        <w:t xml:space="preserve">body of last resort’ to any awarding organisation with DAP. This would give the </w:t>
      </w:r>
      <w:proofErr w:type="spellStart"/>
      <w:r w:rsidR="002044C4">
        <w:rPr>
          <w:rFonts w:eastAsia="Times New Roman" w:cs="Arial"/>
          <w:szCs w:val="24"/>
        </w:rPr>
        <w:t>OfS</w:t>
      </w:r>
      <w:proofErr w:type="spellEnd"/>
      <w:r w:rsidR="002044C4">
        <w:rPr>
          <w:rFonts w:eastAsia="Times New Roman" w:cs="Arial"/>
          <w:szCs w:val="24"/>
        </w:rPr>
        <w:t xml:space="preserve"> far less control over the checks and balances that the ‘validating body(s) of last resort’ operated and would almost certainly make the idea of a ‘validating body of last resort’ redundant. </w:t>
      </w:r>
    </w:p>
    <w:p w14:paraId="0BD6D31C" w14:textId="77777777" w:rsidR="00E458FA" w:rsidRPr="00E458FA" w:rsidRDefault="00E458FA" w:rsidP="00E458FA">
      <w:pPr>
        <w:tabs>
          <w:tab w:val="left" w:pos="567"/>
        </w:tabs>
        <w:spacing w:after="288" w:line="240" w:lineRule="auto"/>
        <w:ind w:right="11"/>
        <w:rPr>
          <w:rFonts w:eastAsia="Times New Roman" w:cs="Arial"/>
          <w:szCs w:val="24"/>
        </w:rPr>
      </w:pPr>
    </w:p>
    <w:p w14:paraId="4B6D950A" w14:textId="77777777" w:rsidR="00E458FA" w:rsidRPr="00E458FA" w:rsidRDefault="00E458FA" w:rsidP="00E458FA">
      <w:pPr>
        <w:tabs>
          <w:tab w:val="left" w:pos="567"/>
        </w:tabs>
        <w:spacing w:after="288" w:line="240" w:lineRule="auto"/>
        <w:ind w:right="11"/>
        <w:rPr>
          <w:rFonts w:eastAsia="Times New Roman" w:cs="Arial"/>
          <w:szCs w:val="24"/>
        </w:rPr>
      </w:pPr>
    </w:p>
    <w:p w14:paraId="45FB7F7E" w14:textId="77777777" w:rsidR="00E458FA" w:rsidRPr="00E458FA" w:rsidRDefault="00E458FA" w:rsidP="00E458FA">
      <w:pPr>
        <w:tabs>
          <w:tab w:val="left" w:pos="567"/>
        </w:tabs>
        <w:spacing w:after="288" w:line="240" w:lineRule="auto"/>
        <w:ind w:right="11"/>
        <w:rPr>
          <w:rFonts w:eastAsia="Times New Roman" w:cs="Arial"/>
          <w:szCs w:val="24"/>
        </w:rPr>
      </w:pPr>
      <w:r w:rsidRPr="00E458FA">
        <w:rPr>
          <w:rFonts w:eastAsia="Times New Roman" w:cs="Arial"/>
          <w:szCs w:val="24"/>
        </w:rPr>
        <w:t xml:space="preserve">Question 16: Do you agree with the proposed immediate actions intended to speed up entry?  </w:t>
      </w:r>
    </w:p>
    <w:p w14:paraId="5C56DCF6" w14:textId="4D787C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0375466"/>
          <w14:checkbox>
            <w14:checked w14:val="1"/>
            <w14:checkedState w14:val="2612" w14:font="MS Gothic"/>
            <w14:uncheckedState w14:val="2610" w14:font="MS Gothic"/>
          </w14:checkbox>
        </w:sdtPr>
        <w:sdtEndPr/>
        <w:sdtContent>
          <w:r w:rsidR="0090600F">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8078010"/>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02231205"/>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0B67C18E" w14:textId="77777777" w:rsid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5778716B" w14:textId="77777777" w:rsidR="0090600F" w:rsidRDefault="0090600F" w:rsidP="00E458FA">
      <w:pPr>
        <w:tabs>
          <w:tab w:val="left" w:pos="567"/>
        </w:tabs>
        <w:spacing w:after="288" w:line="240" w:lineRule="auto"/>
        <w:ind w:left="142" w:right="11"/>
        <w:rPr>
          <w:rFonts w:eastAsia="Times New Roman" w:cs="Arial"/>
          <w:szCs w:val="24"/>
        </w:rPr>
      </w:pPr>
      <w:r>
        <w:rPr>
          <w:rFonts w:eastAsia="Times New Roman" w:cs="Arial"/>
          <w:szCs w:val="24"/>
        </w:rPr>
        <w:t xml:space="preserve">The non-legislative changes to the HER timetable, allowing this to run alongside course designation makes perfect sense. An institution will have to have successful outcomes in each to be designated so the final outcome will be no different if they run in parallel. This would be a very positive step for an institution who has a successful QAA review whilst applying for course designation. </w:t>
      </w:r>
    </w:p>
    <w:p w14:paraId="224BB5AD" w14:textId="7C8A44A8" w:rsidR="0090600F" w:rsidRDefault="0090600F" w:rsidP="00E458FA">
      <w:pPr>
        <w:tabs>
          <w:tab w:val="left" w:pos="567"/>
        </w:tabs>
        <w:spacing w:after="288" w:line="240" w:lineRule="auto"/>
        <w:ind w:left="142" w:right="11"/>
        <w:rPr>
          <w:rFonts w:eastAsia="Times New Roman" w:cs="Arial"/>
          <w:szCs w:val="24"/>
        </w:rPr>
      </w:pPr>
      <w:r>
        <w:rPr>
          <w:rFonts w:eastAsia="Times New Roman" w:cs="Arial"/>
          <w:szCs w:val="24"/>
        </w:rPr>
        <w:t>t would also make sense to allow designation windows throughout the year. If an institution already has some designated courses but is keen to expand their portfolio external factors, such as a validating partner’s laborious validation process, can delay the final validation outcome until after the designation window has closed. This means that an AP will have to wait up to 6 months extra to designate the course. This will either affect the UCAS window or the start of the academic year, both will have a huge impact on student numbers for that particular year. Opening up the validation windows would mediate against this and not penalise Alternative Providers for the slow actions at validating partners.</w:t>
      </w:r>
    </w:p>
    <w:p w14:paraId="5F78E162" w14:textId="62B4EC9E" w:rsidR="0090600F" w:rsidRPr="00E458FA" w:rsidRDefault="0090600F" w:rsidP="00E458FA">
      <w:pPr>
        <w:tabs>
          <w:tab w:val="left" w:pos="567"/>
        </w:tabs>
        <w:spacing w:after="288" w:line="240" w:lineRule="auto"/>
        <w:ind w:left="142" w:right="11"/>
        <w:rPr>
          <w:rFonts w:eastAsia="Times New Roman" w:cs="Arial"/>
          <w:szCs w:val="24"/>
        </w:rPr>
      </w:pPr>
      <w:r>
        <w:rPr>
          <w:rFonts w:eastAsia="Times New Roman" w:cs="Arial"/>
          <w:szCs w:val="24"/>
        </w:rPr>
        <w:t xml:space="preserve">My only reservation in the proposals would lie with the suggestion of a probationary designation period. If this was probationary pending a successful </w:t>
      </w:r>
      <w:r w:rsidR="00201C81">
        <w:rPr>
          <w:rFonts w:eastAsia="Times New Roman" w:cs="Arial"/>
          <w:szCs w:val="24"/>
        </w:rPr>
        <w:t>QAA,</w:t>
      </w:r>
      <w:r>
        <w:rPr>
          <w:rFonts w:eastAsia="Times New Roman" w:cs="Arial"/>
          <w:szCs w:val="24"/>
        </w:rPr>
        <w:t xml:space="preserve"> HER and then the institution subsequently failed their HER then there would be considerable impact on the students currently on the course. If a subsequent failing of an HER resulted in the removal of probationary </w:t>
      </w:r>
      <w:r w:rsidR="00201C81">
        <w:rPr>
          <w:rFonts w:eastAsia="Times New Roman" w:cs="Arial"/>
          <w:szCs w:val="24"/>
        </w:rPr>
        <w:t>designation,</w:t>
      </w:r>
      <w:r>
        <w:rPr>
          <w:rFonts w:eastAsia="Times New Roman" w:cs="Arial"/>
          <w:szCs w:val="24"/>
        </w:rPr>
        <w:t xml:space="preserve"> then the likely impact would be that the course was forced to close. This would have a big impact on Tier 4 students as the failed HER would also result in the removal of a Tier 4 license. </w:t>
      </w:r>
      <w:r w:rsidR="00201C81">
        <w:rPr>
          <w:rFonts w:eastAsia="Times New Roman" w:cs="Arial"/>
          <w:szCs w:val="24"/>
        </w:rPr>
        <w:t>By encouraging institutions to run courses under probationary designation without the track record of a successful HER, an institution may be tempted to run a course with Tier 4 students. This would be possible if an institution had gained a Tier 4 license via an ISI Educational Oversight visit which was then subsequently removed following an unsuccessful HER.</w:t>
      </w:r>
    </w:p>
    <w:p w14:paraId="10A25835" w14:textId="6CBAA06F" w:rsidR="00E458FA" w:rsidRDefault="004C04B6" w:rsidP="00201C81">
      <w:pPr>
        <w:numPr>
          <w:ilvl w:val="1"/>
          <w:numId w:val="0"/>
        </w:numPr>
        <w:spacing w:after="288" w:line="240" w:lineRule="auto"/>
        <w:rPr>
          <w:rFonts w:eastAsia="Times New Roman" w:cs="Times New Roman"/>
          <w:szCs w:val="24"/>
        </w:rPr>
      </w:pPr>
      <w:r>
        <w:rPr>
          <w:rFonts w:eastAsia="Times New Roman" w:cs="Times New Roman"/>
          <w:szCs w:val="24"/>
        </w:rPr>
        <w:t>I whole-</w:t>
      </w:r>
      <w:r w:rsidR="00B76E69">
        <w:rPr>
          <w:rFonts w:eastAsia="Times New Roman" w:cs="Times New Roman"/>
          <w:szCs w:val="24"/>
        </w:rPr>
        <w:t xml:space="preserve">heartedly endorse the concept of multi-year designations and I think that the criteria outlined to support this is valid, robust and fair. One of the major issues facing alternative providers is the inability to ensure SLC funding to prospective students ahead of the UCAS window. This then acts as a huge disincentive for </w:t>
      </w:r>
      <w:r w:rsidR="00B76E69">
        <w:rPr>
          <w:rFonts w:eastAsia="Times New Roman" w:cs="Times New Roman"/>
          <w:szCs w:val="24"/>
        </w:rPr>
        <w:lastRenderedPageBreak/>
        <w:t>prospective students listing an AP as one of their 5 choices on the UCAS form. This is extremely unfair for any AP who can demonstrate a track record as outlined in paragraph 36. I would welcome this change appearing in the guidance in Summer 2016.</w:t>
      </w:r>
    </w:p>
    <w:p w14:paraId="4D126205" w14:textId="77777777" w:rsidR="00AD4023" w:rsidRDefault="00AD4023" w:rsidP="00201C81">
      <w:pPr>
        <w:numPr>
          <w:ilvl w:val="1"/>
          <w:numId w:val="0"/>
        </w:numPr>
        <w:spacing w:after="288" w:line="240" w:lineRule="auto"/>
        <w:rPr>
          <w:rFonts w:eastAsia="Times New Roman" w:cs="Times New Roman"/>
          <w:color w:val="000000" w:themeColor="text1"/>
          <w:szCs w:val="24"/>
        </w:rPr>
      </w:pPr>
      <w:r w:rsidRPr="00AD4023">
        <w:rPr>
          <w:rFonts w:eastAsia="Times New Roman" w:cs="Times New Roman"/>
          <w:color w:val="000000" w:themeColor="text1"/>
          <w:szCs w:val="24"/>
        </w:rPr>
        <w:t>One area</w:t>
      </w:r>
      <w:r>
        <w:rPr>
          <w:rFonts w:eastAsia="Times New Roman" w:cs="Times New Roman"/>
          <w:color w:val="000000" w:themeColor="text1"/>
          <w:szCs w:val="24"/>
        </w:rPr>
        <w:t xml:space="preserve"> that does disadvantage some Alternative Providers, such as my institution, Point Blank, is the requirement for 50% of students to be on HE level courses before an institution can transfer from being a ‘small provider’ with a student number allowance to gain a student number control. We are different to a tradition HEI as we have courses from level 3 to HE and also run short, unaccredited courses and summer schools. The HE provision actually reflects a small percentage of our overall business but it is difficult to grow this whilst being stuck on an SNA of 50.</w:t>
      </w:r>
    </w:p>
    <w:p w14:paraId="3AE4E78E" w14:textId="1A82BC3B" w:rsidR="00AD4023" w:rsidRDefault="00AD4023" w:rsidP="00AD4023">
      <w:pPr>
        <w:numPr>
          <w:ilvl w:val="1"/>
          <w:numId w:val="0"/>
        </w:numPr>
        <w:spacing w:after="288" w:line="240" w:lineRule="auto"/>
        <w:rPr>
          <w:rFonts w:eastAsia="Times New Roman" w:cs="Times New Roman"/>
          <w:color w:val="000000" w:themeColor="text1"/>
          <w:szCs w:val="24"/>
        </w:rPr>
      </w:pPr>
      <w:r>
        <w:rPr>
          <w:rFonts w:eastAsia="Times New Roman" w:cs="Times New Roman"/>
          <w:color w:val="000000" w:themeColor="text1"/>
          <w:szCs w:val="24"/>
        </w:rPr>
        <w:t>Our only options at present, if we wished to apply for and grow a SNC, are to drop our non-HE courses or compartmentalise the company and create a separate business for the HE provision. The first option would have a dramatic effect on student numbers and force us to shut whilst the second option would then mean applying for two Tier 4 licenses, management teams and operating as two completely separate entities</w:t>
      </w:r>
      <w:bookmarkStart w:id="12" w:name="_Toc434412500"/>
      <w:r>
        <w:rPr>
          <w:rFonts w:eastAsia="Times New Roman" w:cs="Times New Roman"/>
          <w:color w:val="000000" w:themeColor="text1"/>
          <w:szCs w:val="24"/>
        </w:rPr>
        <w:t>.</w:t>
      </w:r>
    </w:p>
    <w:p w14:paraId="247BF2A3" w14:textId="4C0589E8" w:rsidR="00AD4023" w:rsidRPr="00AD4023" w:rsidRDefault="00AD4023" w:rsidP="00AD4023">
      <w:pPr>
        <w:numPr>
          <w:ilvl w:val="1"/>
          <w:numId w:val="0"/>
        </w:numPr>
        <w:spacing w:after="288" w:line="240" w:lineRule="auto"/>
        <w:rPr>
          <w:rFonts w:eastAsia="Times New Roman" w:cs="Times New Roman"/>
          <w:color w:val="000000" w:themeColor="text1"/>
          <w:szCs w:val="24"/>
        </w:rPr>
      </w:pPr>
      <w:r>
        <w:rPr>
          <w:rFonts w:eastAsia="Times New Roman" w:cs="Times New Roman"/>
          <w:color w:val="000000" w:themeColor="text1"/>
          <w:szCs w:val="24"/>
        </w:rPr>
        <w:t xml:space="preserve">Whilst I welcome the proposals to speed up entry and course designation this has to work in tandem with an understanding of how Alternative Providers operate in terms of the educational landscape. If the 50% requirement was dropped then it would allow genuine, well-run institutions with a strong track record of delivering a range of courses at different levels to </w:t>
      </w:r>
      <w:r w:rsidR="006445B7">
        <w:rPr>
          <w:rFonts w:eastAsia="Times New Roman" w:cs="Times New Roman"/>
          <w:color w:val="000000" w:themeColor="text1"/>
          <w:szCs w:val="24"/>
        </w:rPr>
        <w:t>offer more HE provision and reach more students whilst providing more progression routes for current students accessing courses at level 3.</w:t>
      </w:r>
    </w:p>
    <w:p w14:paraId="3F1EB5C2" w14:textId="77777777" w:rsidR="00E458FA" w:rsidRPr="00E458FA" w:rsidRDefault="00E458FA" w:rsidP="00E458FA">
      <w:pPr>
        <w:keepNext/>
        <w:spacing w:after="120" w:line="240" w:lineRule="auto"/>
        <w:outlineLvl w:val="2"/>
        <w:rPr>
          <w:rFonts w:eastAsia="Times New Roman" w:cs="Times New Roman"/>
          <w:b/>
          <w:bCs/>
          <w:color w:val="009BBB"/>
          <w:sz w:val="26"/>
          <w:szCs w:val="26"/>
        </w:rPr>
      </w:pPr>
      <w:r w:rsidRPr="00E458FA">
        <w:rPr>
          <w:rFonts w:eastAsia="Times New Roman" w:cs="Times New Roman"/>
          <w:b/>
          <w:bCs/>
          <w:color w:val="009BBB"/>
          <w:sz w:val="26"/>
          <w:szCs w:val="26"/>
        </w:rPr>
        <w:t>Provider exit and student protection (Part B: Chapter 2)</w:t>
      </w:r>
      <w:bookmarkEnd w:id="12"/>
    </w:p>
    <w:p w14:paraId="182F986A"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17: Do you agree with the proposal to introduce a requirement for all providers to have contingency arrangements to support students in the event that their course cannot be completed?</w:t>
      </w:r>
    </w:p>
    <w:p w14:paraId="74F6D22D" w14:textId="530E43A6"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69128739"/>
          <w14:checkbox>
            <w14:checked w14:val="1"/>
            <w14:checkedState w14:val="2612" w14:font="MS Gothic"/>
            <w14:uncheckedState w14:val="2610" w14:font="MS Gothic"/>
          </w14:checkbox>
        </w:sdtPr>
        <w:sdtEndPr/>
        <w:sdtContent>
          <w:r w:rsidR="00AD4023">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6199537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35441191"/>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3BEA06FA" w14:textId="77777777" w:rsidR="00E458FA" w:rsidRPr="00E458FA" w:rsidRDefault="00E458FA" w:rsidP="00E458FA">
      <w:pPr>
        <w:tabs>
          <w:tab w:val="left" w:pos="567"/>
        </w:tabs>
        <w:spacing w:after="288" w:line="240" w:lineRule="auto"/>
        <w:ind w:left="142" w:right="11"/>
        <w:rPr>
          <w:rFonts w:eastAsia="Times New Roman" w:cs="Times New Roman"/>
          <w:szCs w:val="24"/>
        </w:rPr>
      </w:pPr>
      <w:r w:rsidRPr="00E458FA">
        <w:rPr>
          <w:rFonts w:eastAsia="Times New Roman" w:cs="Arial"/>
          <w:szCs w:val="24"/>
        </w:rPr>
        <w:t xml:space="preserve">Please give reasons for your answer, including evidence on the costs and benefits associated with having a contingency plan in place? Please quantify these costs where possible. </w:t>
      </w:r>
    </w:p>
    <w:p w14:paraId="52B103A4" w14:textId="2CB515F8" w:rsidR="0089757F" w:rsidRDefault="004C0CEB" w:rsidP="00E458FA">
      <w:pPr>
        <w:spacing w:after="288" w:line="240" w:lineRule="auto"/>
        <w:ind w:left="142"/>
        <w:rPr>
          <w:rFonts w:eastAsia="Times New Roman" w:cs="Times New Roman"/>
          <w:szCs w:val="24"/>
        </w:rPr>
      </w:pPr>
      <w:r>
        <w:rPr>
          <w:rFonts w:eastAsia="Times New Roman" w:cs="Times New Roman"/>
          <w:szCs w:val="24"/>
        </w:rPr>
        <w:t xml:space="preserve">It is sensible for a contingency plan to be developed for all institutions delivering HE. In order to maintain a level-playing field it is essential that the same requirements are asked of HEIs in addition to APs. </w:t>
      </w:r>
      <w:r w:rsidR="0089757F">
        <w:rPr>
          <w:rFonts w:eastAsia="Times New Roman" w:cs="Times New Roman"/>
          <w:szCs w:val="24"/>
        </w:rPr>
        <w:t>We have recently seen troubles at established HEIs and the issues that occur as a result of closure affect students at any institution.</w:t>
      </w:r>
    </w:p>
    <w:p w14:paraId="1C1A7DC3" w14:textId="49E9ADDF" w:rsidR="00E458FA" w:rsidRPr="00E458FA" w:rsidRDefault="0089757F" w:rsidP="00E458FA">
      <w:pPr>
        <w:spacing w:after="288" w:line="240" w:lineRule="auto"/>
        <w:ind w:left="142"/>
        <w:rPr>
          <w:rFonts w:eastAsia="Times New Roman" w:cs="Times New Roman"/>
          <w:szCs w:val="24"/>
        </w:rPr>
      </w:pPr>
      <w:r>
        <w:rPr>
          <w:rFonts w:eastAsia="Times New Roman" w:cs="Times New Roman"/>
          <w:szCs w:val="24"/>
        </w:rPr>
        <w:t>By opening up the sector further there is also the risk that new institutions without the history of older APs or HEIs may open without having a sustainable vision, although FSMG checks should help ensure that this is minimised on financial grounds there needs to be contingency against successful APs being bought by 3</w:t>
      </w:r>
      <w:r w:rsidRPr="0089757F">
        <w:rPr>
          <w:rFonts w:eastAsia="Times New Roman" w:cs="Times New Roman"/>
          <w:szCs w:val="24"/>
          <w:vertAlign w:val="superscript"/>
        </w:rPr>
        <w:t>rd</w:t>
      </w:r>
      <w:r>
        <w:rPr>
          <w:rFonts w:eastAsia="Times New Roman" w:cs="Times New Roman"/>
          <w:szCs w:val="24"/>
        </w:rPr>
        <w:t xml:space="preserve"> parties who then asset strip the organisation for financial gain. This would deeply </w:t>
      </w:r>
      <w:r>
        <w:rPr>
          <w:rFonts w:eastAsia="Times New Roman" w:cs="Times New Roman"/>
          <w:szCs w:val="24"/>
        </w:rPr>
        <w:lastRenderedPageBreak/>
        <w:t>affect the students involved and damage the reputation of the sector. Although a contingency plan should be a pre-requisite ahead of exit there is a concern that an institution which went into administration would then include it’s students on a list of creditors who may have to settle for a percentage of the pound rather than the full fees owed.</w:t>
      </w:r>
      <w:r w:rsidR="00E458FA" w:rsidRPr="00E458FA">
        <w:rPr>
          <w:rFonts w:eastAsia="Times New Roman" w:cs="Times New Roman"/>
          <w:szCs w:val="24"/>
        </w:rPr>
        <w:br/>
      </w:r>
    </w:p>
    <w:p w14:paraId="3F576C9E" w14:textId="77777777" w:rsidR="00E458FA" w:rsidRPr="00E458FA" w:rsidRDefault="00E458FA" w:rsidP="00E458FA">
      <w:pPr>
        <w:spacing w:after="288" w:line="240" w:lineRule="auto"/>
        <w:ind w:left="142"/>
        <w:rPr>
          <w:rFonts w:eastAsia="Times New Roman" w:cs="Times New Roman"/>
          <w:szCs w:val="24"/>
        </w:rPr>
      </w:pPr>
    </w:p>
    <w:p w14:paraId="17EECDE1"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3" w:name="_Toc434412501"/>
      <w:r w:rsidRPr="00E458FA">
        <w:rPr>
          <w:rFonts w:eastAsia="Times New Roman" w:cs="Times New Roman"/>
          <w:b/>
          <w:bCs/>
          <w:color w:val="009BBB"/>
          <w:sz w:val="26"/>
          <w:szCs w:val="26"/>
        </w:rPr>
        <w:t>Simplifying the higher education architecture (Part C)</w:t>
      </w:r>
      <w:bookmarkEnd w:id="13"/>
    </w:p>
    <w:p w14:paraId="3F5CFA78"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18:</w:t>
      </w:r>
    </w:p>
    <w:p w14:paraId="6D019D3D" w14:textId="77777777"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changes to the higher education architecture? </w:t>
      </w:r>
    </w:p>
    <w:p w14:paraId="71FA3095" w14:textId="0CD9BDE5" w:rsidR="00E458FA" w:rsidRPr="00E458FA" w:rsidRDefault="00397D72" w:rsidP="00E458FA">
      <w:pPr>
        <w:tabs>
          <w:tab w:val="left" w:pos="567"/>
        </w:tabs>
        <w:spacing w:after="288" w:line="240" w:lineRule="auto"/>
        <w:ind w:left="142"/>
        <w:rPr>
          <w:rFonts w:eastAsia="Times New Roman" w:cs="Times New Roman"/>
          <w:szCs w:val="24"/>
        </w:rPr>
      </w:pPr>
      <w:sdt>
        <w:sdtPr>
          <w:rPr>
            <w:rFonts w:ascii="MS Gothic" w:eastAsia="MS Gothic" w:hAnsi="MS Gothic" w:cs="Times New Roman"/>
            <w:szCs w:val="24"/>
          </w:rPr>
          <w:id w:val="-1084302760"/>
          <w14:checkbox>
            <w14:checked w14:val="0"/>
            <w14:checkedState w14:val="2612" w14:font="MS Gothic"/>
            <w14:uncheckedState w14:val="2610" w14:font="MS Gothic"/>
          </w14:checkbox>
        </w:sdtPr>
        <w:sdtEndPr/>
        <w:sdtContent>
          <w:r w:rsidR="0009773D">
            <w:rPr>
              <w:rFonts w:ascii="MS Gothic" w:eastAsia="MS Gothic" w:hAnsi="MS Gothic" w:cs="Times New Roman" w:hint="eastAsia"/>
              <w:szCs w:val="24"/>
            </w:rPr>
            <w:t>☐</w:t>
          </w:r>
        </w:sdtContent>
      </w:sdt>
      <w:r w:rsidR="00E458FA" w:rsidRPr="00E458FA">
        <w:rPr>
          <w:rFonts w:eastAsia="Times New Roman" w:cs="Times New Roman"/>
          <w:szCs w:val="24"/>
        </w:rPr>
        <w:t xml:space="preserve"> Yes</w:t>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905529047"/>
          <w14:checkbox>
            <w14:checked w14:val="0"/>
            <w14:checkedState w14:val="2612" w14:font="MS Gothic"/>
            <w14:uncheckedState w14:val="2610" w14:font="MS Gothic"/>
          </w14:checkbox>
        </w:sdtPr>
        <w:sdtEnd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No</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1203939290"/>
          <w14:checkbox>
            <w14:checked w14:val="1"/>
            <w14:checkedState w14:val="2612" w14:font="MS Gothic"/>
            <w14:uncheckedState w14:val="2610" w14:font="MS Gothic"/>
          </w14:checkbox>
        </w:sdtPr>
        <w:sdtEndPr/>
        <w:sdtContent>
          <w:r w:rsidR="0009773D">
            <w:rPr>
              <w:rFonts w:ascii="MS Gothic" w:eastAsia="MS Gothic" w:hAnsi="MS Gothic" w:cs="Times New Roman" w:hint="eastAsia"/>
              <w:szCs w:val="24"/>
            </w:rPr>
            <w:t>☒</w:t>
          </w:r>
        </w:sdtContent>
      </w:sdt>
      <w:r w:rsidR="00E458FA" w:rsidRPr="00E458FA">
        <w:rPr>
          <w:rFonts w:eastAsia="Times New Roman" w:cs="Times New Roman"/>
          <w:szCs w:val="24"/>
        </w:rPr>
        <w:t xml:space="preserve"> Not sure</w:t>
      </w:r>
    </w:p>
    <w:p w14:paraId="2626B50C"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14:paraId="35FC5D02" w14:textId="64186297" w:rsidR="00E458FA" w:rsidRPr="00E458FA" w:rsidRDefault="00336E0C" w:rsidP="00E458FA">
      <w:pPr>
        <w:tabs>
          <w:tab w:val="left" w:pos="567"/>
        </w:tabs>
        <w:spacing w:after="288" w:line="240" w:lineRule="auto"/>
        <w:ind w:left="142" w:right="11"/>
        <w:rPr>
          <w:rFonts w:eastAsia="Times New Roman" w:cs="Arial"/>
          <w:szCs w:val="24"/>
        </w:rPr>
      </w:pPr>
      <w:r>
        <w:rPr>
          <w:rFonts w:eastAsia="Times New Roman" w:cs="Arial"/>
          <w:szCs w:val="24"/>
        </w:rPr>
        <w:t xml:space="preserve">Joining up different sector bodies into an </w:t>
      </w:r>
      <w:proofErr w:type="spellStart"/>
      <w:r>
        <w:rPr>
          <w:rFonts w:eastAsia="Times New Roman" w:cs="Arial"/>
          <w:szCs w:val="24"/>
        </w:rPr>
        <w:t>OfS</w:t>
      </w:r>
      <w:proofErr w:type="spellEnd"/>
      <w:r>
        <w:rPr>
          <w:rFonts w:eastAsia="Times New Roman" w:cs="Arial"/>
          <w:szCs w:val="24"/>
        </w:rPr>
        <w:t xml:space="preserve"> should reduce regulatory burden by avoiding the duplication of processes. </w:t>
      </w:r>
      <w:r w:rsidR="00067990">
        <w:rPr>
          <w:rFonts w:eastAsia="Times New Roman" w:cs="Arial"/>
          <w:szCs w:val="24"/>
        </w:rPr>
        <w:t>However,</w:t>
      </w:r>
      <w:r w:rsidR="0009773D">
        <w:rPr>
          <w:rFonts w:eastAsia="Times New Roman" w:cs="Arial"/>
          <w:szCs w:val="24"/>
        </w:rPr>
        <w:t xml:space="preserve"> it is important that research and teaching are not separated, as proposed in the Green paper as this will erode the link between the two</w:t>
      </w:r>
      <w:r w:rsidR="00067990">
        <w:rPr>
          <w:rFonts w:eastAsia="Times New Roman" w:cs="Arial"/>
          <w:szCs w:val="24"/>
        </w:rPr>
        <w:t>.</w:t>
      </w:r>
    </w:p>
    <w:p w14:paraId="2D88F2CA" w14:textId="77777777" w:rsidR="00E458FA" w:rsidRPr="00E458FA" w:rsidRDefault="00E458FA" w:rsidP="00E458FA">
      <w:pPr>
        <w:tabs>
          <w:tab w:val="left" w:pos="567"/>
        </w:tabs>
        <w:spacing w:after="288" w:line="240" w:lineRule="auto"/>
        <w:ind w:left="142" w:right="11"/>
        <w:rPr>
          <w:rFonts w:eastAsia="Times New Roman" w:cs="Arial"/>
          <w:szCs w:val="24"/>
        </w:rPr>
      </w:pPr>
    </w:p>
    <w:p w14:paraId="79D6F9C9" w14:textId="77777777"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To what extent should the Office for Students (</w:t>
      </w:r>
      <w:proofErr w:type="spellStart"/>
      <w:r w:rsidRPr="00E458FA">
        <w:rPr>
          <w:rFonts w:eastAsia="Times New Roman" w:cs="Arial"/>
          <w:szCs w:val="24"/>
        </w:rPr>
        <w:t>OfS</w:t>
      </w:r>
      <w:proofErr w:type="spellEnd"/>
      <w:r w:rsidRPr="00E458FA">
        <w:rPr>
          <w:rFonts w:eastAsia="Times New Roman" w:cs="Arial"/>
          <w:szCs w:val="24"/>
        </w:rPr>
        <w:t xml:space="preserve">) have the power to contract out its functions to separate bodies?  </w:t>
      </w:r>
    </w:p>
    <w:p w14:paraId="47397C05" w14:textId="5DCA9952" w:rsidR="00E458FA" w:rsidRPr="00E458FA" w:rsidRDefault="00E458FA" w:rsidP="00E458FA">
      <w:pPr>
        <w:tabs>
          <w:tab w:val="left" w:pos="567"/>
        </w:tabs>
        <w:spacing w:after="288" w:line="240" w:lineRule="auto"/>
        <w:rPr>
          <w:rFonts w:eastAsia="Times New Roman" w:cs="Times New Roman"/>
          <w:szCs w:val="24"/>
        </w:rPr>
      </w:pPr>
      <w:r w:rsidRPr="00E458FA">
        <w:rPr>
          <w:rFonts w:eastAsia="Times New Roman" w:cs="Times New Roman"/>
          <w:szCs w:val="24"/>
        </w:rPr>
        <w:tab/>
      </w:r>
      <w:sdt>
        <w:sdtPr>
          <w:rPr>
            <w:rFonts w:ascii="MS Gothic" w:eastAsia="MS Gothic" w:hAnsi="MS Gothic" w:cs="Times New Roman"/>
            <w:szCs w:val="24"/>
          </w:rPr>
          <w:id w:val="1920902391"/>
          <w14:checkbox>
            <w14:checked w14:val="0"/>
            <w14:checkedState w14:val="2612" w14:font="MS Gothic"/>
            <w14:uncheckedState w14:val="2610" w14:font="MS Gothic"/>
          </w14:checkbox>
        </w:sdtPr>
        <w:sdtEndPr/>
        <w:sdtContent>
          <w:r w:rsidR="00336E0C">
            <w:rPr>
              <w:rFonts w:ascii="MS Gothic" w:eastAsia="MS Gothic" w:hAnsi="MS Gothic" w:cs="Times New Roman" w:hint="eastAsia"/>
              <w:szCs w:val="24"/>
            </w:rPr>
            <w:t>☐</w:t>
          </w:r>
        </w:sdtContent>
      </w:sdt>
      <w:r w:rsidRPr="00E458FA">
        <w:rPr>
          <w:rFonts w:eastAsia="Times New Roman" w:cs="Times New Roman"/>
          <w:szCs w:val="24"/>
        </w:rPr>
        <w:t xml:space="preserve"> Fully</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547384"/>
          <w14:checkbox>
            <w14:checked w14:val="1"/>
            <w14:checkedState w14:val="2612" w14:font="MS Gothic"/>
            <w14:uncheckedState w14:val="2610" w14:font="MS Gothic"/>
          </w14:checkbox>
        </w:sdtPr>
        <w:sdtEndPr/>
        <w:sdtContent>
          <w:r w:rsidR="00336E0C">
            <w:rPr>
              <w:rFonts w:ascii="MS Gothic" w:eastAsia="MS Gothic" w:hAnsi="MS Gothic" w:cs="Times New Roman" w:hint="eastAsia"/>
              <w:szCs w:val="24"/>
            </w:rPr>
            <w:t>☒</w:t>
          </w:r>
        </w:sdtContent>
      </w:sdt>
      <w:r w:rsidRPr="00E458FA">
        <w:rPr>
          <w:rFonts w:eastAsia="Times New Roman" w:cs="Times New Roman"/>
          <w:szCs w:val="24"/>
        </w:rPr>
        <w:t xml:space="preserve"> Partially</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01595152"/>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at all</w:t>
      </w:r>
    </w:p>
    <w:p w14:paraId="0357AA28" w14:textId="77777777"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 xml:space="preserve">If you agree, which functions should the </w:t>
      </w:r>
      <w:proofErr w:type="spellStart"/>
      <w:r w:rsidRPr="00E458FA">
        <w:rPr>
          <w:rFonts w:eastAsia="Times New Roman" w:cs="Arial"/>
          <w:szCs w:val="24"/>
        </w:rPr>
        <w:t>OfS</w:t>
      </w:r>
      <w:proofErr w:type="spellEnd"/>
      <w:r w:rsidRPr="00E458FA">
        <w:rPr>
          <w:rFonts w:eastAsia="Times New Roman" w:cs="Arial"/>
          <w:szCs w:val="24"/>
        </w:rPr>
        <w:t xml:space="preserve"> be able to contract out?</w:t>
      </w:r>
    </w:p>
    <w:p w14:paraId="552767F1" w14:textId="57E2CA6E" w:rsidR="00E458FA" w:rsidRPr="00336E0C" w:rsidRDefault="00336E0C" w:rsidP="00E458FA">
      <w:pPr>
        <w:spacing w:after="0" w:line="240" w:lineRule="auto"/>
        <w:ind w:left="502"/>
        <w:contextualSpacing/>
        <w:rPr>
          <w:rFonts w:eastAsia="Times New Roman" w:cs="Arial"/>
          <w:szCs w:val="24"/>
          <w:lang w:eastAsia="en-GB"/>
        </w:rPr>
      </w:pPr>
      <w:r w:rsidRPr="00336E0C">
        <w:rPr>
          <w:rFonts w:eastAsia="Times New Roman" w:cs="Arial"/>
          <w:szCs w:val="24"/>
          <w:lang w:eastAsia="en-GB"/>
        </w:rPr>
        <w:t>It is important that core functions are handled by an experienced group of staff whilst specialist functions, where the expertise is concentrated in other places, is capable of being contracted out.</w:t>
      </w:r>
    </w:p>
    <w:p w14:paraId="63CB7738" w14:textId="77777777" w:rsidR="00E458FA" w:rsidRPr="00E458FA" w:rsidRDefault="00E458FA" w:rsidP="00E458FA">
      <w:pPr>
        <w:spacing w:after="0" w:line="240" w:lineRule="auto"/>
        <w:ind w:left="502"/>
        <w:contextualSpacing/>
        <w:rPr>
          <w:rFonts w:ascii="Times New Roman" w:eastAsia="Times New Roman" w:hAnsi="Times New Roman" w:cs="Times New Roman"/>
          <w:szCs w:val="24"/>
          <w:lang w:eastAsia="en-GB"/>
        </w:rPr>
      </w:pPr>
    </w:p>
    <w:p w14:paraId="753B9EFE" w14:textId="77777777" w:rsidR="00E458FA" w:rsidRPr="00E458FA" w:rsidRDefault="00E458FA" w:rsidP="00701104">
      <w:pPr>
        <w:tabs>
          <w:tab w:val="left" w:pos="567"/>
        </w:tabs>
        <w:spacing w:after="288" w:line="240" w:lineRule="auto"/>
        <w:ind w:right="11"/>
        <w:rPr>
          <w:rFonts w:eastAsia="Times New Roman" w:cs="Arial"/>
          <w:b/>
          <w:i/>
          <w:color w:val="4F81BD" w:themeColor="accent1"/>
          <w:szCs w:val="24"/>
        </w:rPr>
      </w:pPr>
    </w:p>
    <w:p w14:paraId="0B4F5FED" w14:textId="77777777"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What are your views on the proposed options for allocating Teaching Grant?</w:t>
      </w:r>
    </w:p>
    <w:p w14:paraId="7F1FBF11"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Option 1: BIS Ministers set strategic priorities and BIS officials determine formula.</w:t>
      </w:r>
    </w:p>
    <w:p w14:paraId="7FF1E350" w14:textId="1DBD2C2B" w:rsidR="00E458FA" w:rsidRPr="00E458FA" w:rsidRDefault="00397D72" w:rsidP="00E458FA">
      <w:pPr>
        <w:spacing w:after="288" w:line="240" w:lineRule="auto"/>
        <w:ind w:firstLine="720"/>
        <w:rPr>
          <w:rFonts w:eastAsia="Times New Roman" w:cs="Times New Roman"/>
          <w:szCs w:val="24"/>
        </w:rPr>
      </w:pPr>
      <w:sdt>
        <w:sdtPr>
          <w:rPr>
            <w:rFonts w:eastAsia="Times New Roman" w:cs="Times New Roman"/>
            <w:szCs w:val="24"/>
          </w:rPr>
          <w:id w:val="1815599012"/>
          <w14:checkbox>
            <w14:checked w14:val="0"/>
            <w14:checkedState w14:val="2612" w14:font="MS Gothic"/>
            <w14:uncheckedState w14:val="2610" w14:font="MS Gothic"/>
          </w14:checkbox>
        </w:sdtPr>
        <w:sdtEndPr/>
        <w:sdtContent>
          <w:r w:rsidR="006C7C6B">
            <w:rPr>
              <w:rFonts w:ascii="MS Gothic" w:eastAsia="MS Gothic" w:hAnsi="MS Gothic" w:cs="Times New Roman" w:hint="eastAsia"/>
              <w:szCs w:val="24"/>
            </w:rPr>
            <w:t>☐</w:t>
          </w:r>
        </w:sdtContent>
      </w:sdt>
      <w:r w:rsidR="00E458FA" w:rsidRPr="00E458FA">
        <w:rPr>
          <w:rFonts w:eastAsia="Times New Roman" w:cs="Times New Roman"/>
          <w:szCs w:val="24"/>
        </w:rPr>
        <w:t xml:space="preserve"> Agree</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659104861"/>
          <w14:checkbox>
            <w14:checked w14:val="1"/>
            <w14:checkedState w14:val="2612" w14:font="MS Gothic"/>
            <w14:uncheckedState w14:val="2610" w14:font="MS Gothic"/>
          </w14:checkbox>
        </w:sdtPr>
        <w:sdtEndPr/>
        <w:sdtContent>
          <w:r w:rsidR="00336E0C">
            <w:rPr>
              <w:rFonts w:ascii="MS Gothic" w:eastAsia="MS Gothic" w:hAnsi="MS Gothic" w:cs="Times New Roman" w:hint="eastAsia"/>
              <w:szCs w:val="24"/>
            </w:rPr>
            <w:t>☒</w:t>
          </w:r>
        </w:sdtContent>
      </w:sdt>
      <w:r w:rsidR="00E458FA" w:rsidRPr="00E458FA">
        <w:rPr>
          <w:rFonts w:eastAsia="Times New Roman" w:cs="Times New Roman"/>
          <w:szCs w:val="24"/>
        </w:rPr>
        <w:t xml:space="preserve"> Disagree</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535004148"/>
          <w14:checkbox>
            <w14:checked w14:val="0"/>
            <w14:checkedState w14:val="2612" w14:font="MS Gothic"/>
            <w14:uncheckedState w14:val="2610" w14:font="MS Gothic"/>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Not sure</w:t>
      </w:r>
    </w:p>
    <w:p w14:paraId="7DAA62E1"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Option 2: BIS Minister sets strategic priorities and allocation responsibilities divested to </w:t>
      </w:r>
      <w:proofErr w:type="spellStart"/>
      <w:r w:rsidRPr="00E458FA">
        <w:rPr>
          <w:rFonts w:eastAsia="Times New Roman" w:cs="Arial"/>
          <w:szCs w:val="24"/>
        </w:rPr>
        <w:t>OfS</w:t>
      </w:r>
      <w:proofErr w:type="spellEnd"/>
    </w:p>
    <w:p w14:paraId="0CA04475" w14:textId="1907AE49" w:rsidR="00E458FA" w:rsidRPr="00E458FA" w:rsidRDefault="00397D72" w:rsidP="00E458FA">
      <w:pPr>
        <w:spacing w:after="288" w:line="240" w:lineRule="auto"/>
        <w:ind w:firstLine="720"/>
        <w:rPr>
          <w:rFonts w:eastAsia="Times New Roman" w:cs="Times New Roman"/>
          <w:szCs w:val="24"/>
        </w:rPr>
      </w:pPr>
      <w:sdt>
        <w:sdtPr>
          <w:rPr>
            <w:rFonts w:eastAsia="Times New Roman" w:cs="Times New Roman"/>
            <w:szCs w:val="24"/>
          </w:rPr>
          <w:id w:val="-1252809423"/>
          <w14:checkbox>
            <w14:checked w14:val="1"/>
            <w14:checkedState w14:val="2612" w14:font="MS Gothic"/>
            <w14:uncheckedState w14:val="2610" w14:font="MS Gothic"/>
          </w14:checkbox>
        </w:sdtPr>
        <w:sdtEndPr/>
        <w:sdtContent>
          <w:r w:rsidR="00336E0C">
            <w:rPr>
              <w:rFonts w:ascii="MS Gothic" w:eastAsia="MS Gothic" w:hAnsi="MS Gothic" w:cs="Times New Roman" w:hint="eastAsia"/>
              <w:szCs w:val="24"/>
            </w:rPr>
            <w:t>☒</w:t>
          </w:r>
        </w:sdtContent>
      </w:sdt>
      <w:r w:rsidR="00E458FA" w:rsidRPr="00E458FA">
        <w:rPr>
          <w:rFonts w:eastAsia="Times New Roman" w:cs="Times New Roman"/>
          <w:szCs w:val="24"/>
        </w:rPr>
        <w:t xml:space="preserve"> Agree</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195371255"/>
          <w14:checkbox>
            <w14:checked w14:val="0"/>
            <w14:checkedState w14:val="2612" w14:font="MS Gothic"/>
            <w14:uncheckedState w14:val="2610" w14:font="MS Gothic"/>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Disagree</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525562819"/>
          <w14:checkbox>
            <w14:checked w14:val="0"/>
            <w14:checkedState w14:val="2612" w14:font="MS Gothic"/>
            <w14:uncheckedState w14:val="2610" w14:font="MS Gothic"/>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Not sure</w:t>
      </w:r>
    </w:p>
    <w:p w14:paraId="7B6EF393"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Please give reasons for your answer,</w:t>
      </w:r>
    </w:p>
    <w:p w14:paraId="6A833BA5" w14:textId="7E09B398" w:rsidR="00E458FA" w:rsidRPr="00E458FA" w:rsidRDefault="00701104" w:rsidP="00E458FA">
      <w:pPr>
        <w:tabs>
          <w:tab w:val="left" w:pos="567"/>
        </w:tabs>
        <w:spacing w:after="288" w:line="240" w:lineRule="auto"/>
        <w:ind w:left="142" w:right="11"/>
        <w:rPr>
          <w:rFonts w:eastAsia="Times New Roman" w:cs="Arial"/>
          <w:szCs w:val="24"/>
        </w:rPr>
      </w:pPr>
      <w:r>
        <w:rPr>
          <w:rFonts w:eastAsia="Times New Roman" w:cs="Arial"/>
          <w:szCs w:val="24"/>
        </w:rPr>
        <w:t xml:space="preserve">It is important that the allocation of a teaching grant </w:t>
      </w:r>
      <w:r w:rsidR="005F01E9">
        <w:rPr>
          <w:rFonts w:eastAsia="Times New Roman" w:cs="Arial"/>
          <w:szCs w:val="24"/>
        </w:rPr>
        <w:t>is seen as being ‘arms-length’ from</w:t>
      </w:r>
      <w:r>
        <w:rPr>
          <w:rFonts w:eastAsia="Times New Roman" w:cs="Arial"/>
          <w:szCs w:val="24"/>
        </w:rPr>
        <w:t xml:space="preserve"> a political issue. The </w:t>
      </w:r>
      <w:proofErr w:type="spellStart"/>
      <w:r>
        <w:rPr>
          <w:rFonts w:eastAsia="Times New Roman" w:cs="Arial"/>
          <w:szCs w:val="24"/>
        </w:rPr>
        <w:t>OfS</w:t>
      </w:r>
      <w:proofErr w:type="spellEnd"/>
      <w:r>
        <w:rPr>
          <w:rFonts w:eastAsia="Times New Roman" w:cs="Arial"/>
          <w:szCs w:val="24"/>
        </w:rPr>
        <w:t xml:space="preserve"> should have this responsibility divested to them, utilising the expertise within the organisation</w:t>
      </w:r>
      <w:r w:rsidR="005F01E9">
        <w:rPr>
          <w:rFonts w:eastAsia="Times New Roman" w:cs="Arial"/>
          <w:szCs w:val="24"/>
        </w:rPr>
        <w:t xml:space="preserve"> whilst providing a sufficient barrier from political change or priorities.</w:t>
      </w:r>
    </w:p>
    <w:p w14:paraId="479422D9" w14:textId="77777777" w:rsidR="00E458FA" w:rsidRPr="00E458FA" w:rsidRDefault="00E458FA" w:rsidP="00E458FA">
      <w:pPr>
        <w:tabs>
          <w:tab w:val="left" w:pos="567"/>
        </w:tabs>
        <w:spacing w:after="288" w:line="240" w:lineRule="auto"/>
        <w:ind w:left="142" w:right="11"/>
        <w:rPr>
          <w:rFonts w:eastAsia="Times New Roman" w:cs="Arial"/>
          <w:szCs w:val="24"/>
        </w:rPr>
      </w:pPr>
    </w:p>
    <w:p w14:paraId="1909CCFB"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19: Do you agree with the proposal for a single, transparent and light touch regulatory framework for every higher education provider?  </w:t>
      </w:r>
    </w:p>
    <w:p w14:paraId="28096D1C" w14:textId="74CA3EC5"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52740566"/>
          <w14:checkbox>
            <w14:checked w14:val="1"/>
            <w14:checkedState w14:val="2612" w14:font="MS Gothic"/>
            <w14:uncheckedState w14:val="2610" w14:font="MS Gothic"/>
          </w14:checkbox>
        </w:sdtPr>
        <w:sdtEndPr/>
        <w:sdtContent>
          <w:r w:rsidR="00067990">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1630910"/>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84293363"/>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14:paraId="0CABA04B" w14:textId="77777777" w:rsidR="00E458FA" w:rsidRPr="00E458FA" w:rsidRDefault="00E458FA" w:rsidP="00E458FA">
      <w:pPr>
        <w:tabs>
          <w:tab w:val="left" w:pos="567"/>
        </w:tabs>
        <w:spacing w:after="288" w:line="240" w:lineRule="auto"/>
        <w:ind w:left="142" w:right="11"/>
        <w:rPr>
          <w:rFonts w:eastAsia="Times New Roman" w:cs="Arial"/>
          <w:szCs w:val="24"/>
        </w:rPr>
      </w:pPr>
    </w:p>
    <w:p w14:paraId="2F311DE9"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 including how the proposed framework would change the burden on providers.  Please quantify the benefits and/or costs where possible.</w:t>
      </w:r>
    </w:p>
    <w:p w14:paraId="0A55441F" w14:textId="0DD706AD" w:rsidR="00E458FA" w:rsidRPr="00E458FA" w:rsidRDefault="00067990" w:rsidP="00E458FA">
      <w:pPr>
        <w:tabs>
          <w:tab w:val="left" w:pos="567"/>
        </w:tabs>
        <w:spacing w:after="288" w:line="240" w:lineRule="auto"/>
        <w:ind w:left="142" w:right="11"/>
        <w:rPr>
          <w:rFonts w:eastAsia="Times New Roman" w:cs="Arial"/>
          <w:szCs w:val="24"/>
        </w:rPr>
      </w:pPr>
      <w:r>
        <w:rPr>
          <w:rFonts w:eastAsia="Times New Roman" w:cs="Arial"/>
          <w:szCs w:val="24"/>
        </w:rPr>
        <w:t>It is essential that the single regulatory framework is risk based and the same for all HE providers across the diverse spectrum.</w:t>
      </w:r>
    </w:p>
    <w:p w14:paraId="04230FE3" w14:textId="77777777" w:rsidR="00E458FA" w:rsidRPr="00E458FA" w:rsidRDefault="00E458FA" w:rsidP="00E458FA">
      <w:pPr>
        <w:tabs>
          <w:tab w:val="left" w:pos="567"/>
        </w:tabs>
        <w:spacing w:after="288" w:line="240" w:lineRule="auto"/>
        <w:ind w:left="142" w:right="11"/>
        <w:rPr>
          <w:rFonts w:eastAsia="Times New Roman" w:cs="Arial"/>
          <w:szCs w:val="24"/>
        </w:rPr>
      </w:pPr>
    </w:p>
    <w:p w14:paraId="50253AE6"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20: What steps could be taken to increase the transparency of student unions and strengthen unions’ accountability to their student members?</w:t>
      </w:r>
    </w:p>
    <w:p w14:paraId="3F5175AD" w14:textId="553BC6C7" w:rsidR="00E458FA" w:rsidRPr="00E458FA" w:rsidRDefault="005F01E9" w:rsidP="00E458FA">
      <w:pPr>
        <w:tabs>
          <w:tab w:val="left" w:pos="567"/>
        </w:tabs>
        <w:spacing w:after="288" w:line="240" w:lineRule="auto"/>
        <w:ind w:left="142" w:right="11"/>
        <w:rPr>
          <w:rFonts w:eastAsia="Times New Roman" w:cs="Arial"/>
          <w:szCs w:val="24"/>
        </w:rPr>
      </w:pPr>
      <w:r>
        <w:rPr>
          <w:rFonts w:eastAsia="Times New Roman" w:cs="Arial"/>
          <w:szCs w:val="24"/>
        </w:rPr>
        <w:t>-</w:t>
      </w:r>
    </w:p>
    <w:p w14:paraId="331C4BCF" w14:textId="77777777" w:rsidR="00E458FA" w:rsidRPr="00E458FA" w:rsidRDefault="00E458FA" w:rsidP="00E458FA">
      <w:pPr>
        <w:tabs>
          <w:tab w:val="left" w:pos="567"/>
        </w:tabs>
        <w:spacing w:after="288" w:line="240" w:lineRule="auto"/>
        <w:ind w:left="142" w:right="11"/>
        <w:rPr>
          <w:rFonts w:eastAsia="Times New Roman" w:cs="Arial"/>
          <w:szCs w:val="24"/>
        </w:rPr>
      </w:pPr>
    </w:p>
    <w:p w14:paraId="5F95157F"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21:</w:t>
      </w:r>
    </w:p>
    <w:p w14:paraId="7566860B" w14:textId="77777777"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duties and powers of the Office for Students?  </w:t>
      </w:r>
    </w:p>
    <w:p w14:paraId="79315D30" w14:textId="56E56F1A"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60189894"/>
          <w14:checkbox>
            <w14:checked w14:val="1"/>
            <w14:checkedState w14:val="2612" w14:font="MS Gothic"/>
            <w14:uncheckedState w14:val="2610" w14:font="MS Gothic"/>
          </w14:checkbox>
        </w:sdtPr>
        <w:sdtEndPr/>
        <w:sdtContent>
          <w:r w:rsidR="00336E0C">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78334009"/>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80131308"/>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75D0EAC1"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02039AC5" w14:textId="77777777" w:rsidR="00E458FA" w:rsidRPr="00E458FA" w:rsidRDefault="00E458FA" w:rsidP="00067990">
      <w:pPr>
        <w:tabs>
          <w:tab w:val="left" w:pos="567"/>
        </w:tabs>
        <w:spacing w:after="288" w:line="240" w:lineRule="auto"/>
        <w:ind w:right="11"/>
        <w:rPr>
          <w:rFonts w:eastAsia="Times New Roman" w:cs="Arial"/>
          <w:szCs w:val="24"/>
        </w:rPr>
      </w:pPr>
    </w:p>
    <w:p w14:paraId="5F551FA7" w14:textId="77777777"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subscription funding model?  </w:t>
      </w:r>
    </w:p>
    <w:p w14:paraId="5FAC2A54" w14:textId="5CD1B2D8"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217433"/>
          <w14:checkbox>
            <w14:checked w14:val="1"/>
            <w14:checkedState w14:val="2612" w14:font="MS Gothic"/>
            <w14:uncheckedState w14:val="2610" w14:font="MS Gothic"/>
          </w14:checkbox>
        </w:sdtPr>
        <w:sdtEndPr/>
        <w:sdtContent>
          <w:r w:rsidR="00336E0C">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50646112"/>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97998353"/>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6AE0AF21"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48AB844B" w14:textId="3F613DC9" w:rsidR="00E458FA" w:rsidRDefault="00067990" w:rsidP="00E458FA">
      <w:pPr>
        <w:tabs>
          <w:tab w:val="left" w:pos="567"/>
        </w:tabs>
        <w:spacing w:after="288" w:line="240" w:lineRule="auto"/>
        <w:ind w:left="142" w:right="11"/>
        <w:rPr>
          <w:rFonts w:eastAsia="Times New Roman" w:cs="Arial"/>
          <w:szCs w:val="24"/>
        </w:rPr>
      </w:pPr>
      <w:r>
        <w:rPr>
          <w:rFonts w:eastAsia="Times New Roman" w:cs="Arial"/>
          <w:szCs w:val="24"/>
        </w:rPr>
        <w:lastRenderedPageBreak/>
        <w:t>It is essential that the cost of subscription is propionate to the size of an institution. An AP classed as a small provider with a SNA of 50 should be paying nowhere near the same as an HEI with 30,000 students. I would suggest that ‘small providers’ with a total publicly funded cohort of up to 50 would be on the first rung of a subscription payment, the next step could rise to 50-100.</w:t>
      </w:r>
    </w:p>
    <w:p w14:paraId="108C1041" w14:textId="3D0AA6E4" w:rsidR="00067990" w:rsidRPr="00E458FA" w:rsidRDefault="00067990" w:rsidP="00E458FA">
      <w:pPr>
        <w:tabs>
          <w:tab w:val="left" w:pos="567"/>
        </w:tabs>
        <w:spacing w:after="288" w:line="240" w:lineRule="auto"/>
        <w:ind w:left="142" w:right="11"/>
        <w:rPr>
          <w:rFonts w:eastAsia="Times New Roman" w:cs="Arial"/>
          <w:szCs w:val="24"/>
        </w:rPr>
      </w:pPr>
      <w:r>
        <w:rPr>
          <w:rFonts w:eastAsia="Times New Roman" w:cs="Arial"/>
          <w:szCs w:val="24"/>
        </w:rPr>
        <w:t xml:space="preserve">The only way of making it a truly fair subscription model is to charge per student enrolled. This may have the added benefit of stopping HEIs over-recruiting in </w:t>
      </w:r>
      <w:r w:rsidR="00626944">
        <w:rPr>
          <w:rFonts w:eastAsia="Times New Roman" w:cs="Arial"/>
          <w:szCs w:val="24"/>
        </w:rPr>
        <w:t>the absence</w:t>
      </w:r>
      <w:r>
        <w:rPr>
          <w:rFonts w:eastAsia="Times New Roman" w:cs="Arial"/>
          <w:szCs w:val="24"/>
        </w:rPr>
        <w:t xml:space="preserve"> of a </w:t>
      </w:r>
      <w:r w:rsidR="009107E2">
        <w:rPr>
          <w:rFonts w:eastAsia="Times New Roman" w:cs="Arial"/>
          <w:szCs w:val="24"/>
        </w:rPr>
        <w:t>SNC.</w:t>
      </w:r>
      <w:r w:rsidR="00626944">
        <w:rPr>
          <w:rFonts w:eastAsia="Times New Roman" w:cs="Arial"/>
          <w:szCs w:val="24"/>
        </w:rPr>
        <w:t xml:space="preserve"> </w:t>
      </w:r>
    </w:p>
    <w:p w14:paraId="6E70104A" w14:textId="77777777" w:rsidR="00A1177B" w:rsidRDefault="00A1177B" w:rsidP="00E458FA">
      <w:pPr>
        <w:tabs>
          <w:tab w:val="left" w:pos="567"/>
        </w:tabs>
        <w:spacing w:after="288" w:line="240" w:lineRule="auto"/>
        <w:ind w:left="142" w:right="11"/>
        <w:rPr>
          <w:rFonts w:eastAsia="Times New Roman" w:cs="Arial"/>
          <w:szCs w:val="24"/>
        </w:rPr>
      </w:pPr>
    </w:p>
    <w:p w14:paraId="2F1A3688"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22: </w:t>
      </w:r>
    </w:p>
    <w:p w14:paraId="1BAAC52B" w14:textId="77777777"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powers for </w:t>
      </w:r>
      <w:proofErr w:type="spellStart"/>
      <w:r w:rsidRPr="00E458FA">
        <w:rPr>
          <w:rFonts w:eastAsia="Times New Roman" w:cs="Arial"/>
          <w:szCs w:val="24"/>
        </w:rPr>
        <w:t>OfS</w:t>
      </w:r>
      <w:proofErr w:type="spellEnd"/>
      <w:r w:rsidRPr="00E458FA">
        <w:rPr>
          <w:rFonts w:eastAsia="Times New Roman" w:cs="Arial"/>
          <w:szCs w:val="24"/>
        </w:rPr>
        <w:t xml:space="preserve"> and the Secretary of State to manage risk?  </w:t>
      </w:r>
    </w:p>
    <w:p w14:paraId="015ABA39" w14:textId="3A400CC8"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73100556"/>
          <w14:checkbox>
            <w14:checked w14:val="0"/>
            <w14:checkedState w14:val="2612" w14:font="MS Gothic"/>
            <w14:uncheckedState w14:val="2610" w14:font="MS Gothic"/>
          </w14:checkbox>
        </w:sdtPr>
        <w:sdtEndPr/>
        <w:sdtContent>
          <w:r w:rsidR="00C051E0">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26043094"/>
          <w14:checkbox>
            <w14:checked w14:val="0"/>
            <w14:checkedState w14:val="2612" w14:font="MS Gothic"/>
            <w14:uncheckedState w14:val="2610" w14:font="MS Gothic"/>
          </w14:checkbox>
        </w:sdtPr>
        <w:sdtEndPr/>
        <w:sdtContent>
          <w:r w:rsidR="00C051E0">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82237460"/>
          <w14:checkbox>
            <w14:checked w14:val="1"/>
            <w14:checkedState w14:val="2612" w14:font="MS Gothic"/>
            <w14:uncheckedState w14:val="2610" w14:font="MS Gothic"/>
          </w14:checkbox>
        </w:sdtPr>
        <w:sdtEndPr/>
        <w:sdtContent>
          <w:r w:rsidR="00C051E0">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10A6C7A5"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333698BE" w14:textId="77777777" w:rsidR="00E458FA" w:rsidRPr="00E458FA" w:rsidRDefault="00E458FA" w:rsidP="00E458FA">
      <w:pPr>
        <w:tabs>
          <w:tab w:val="left" w:pos="567"/>
        </w:tabs>
        <w:spacing w:after="288" w:line="240" w:lineRule="auto"/>
        <w:ind w:left="142" w:right="11"/>
        <w:rPr>
          <w:rFonts w:eastAsia="Times New Roman" w:cs="Arial"/>
          <w:szCs w:val="24"/>
        </w:rPr>
      </w:pPr>
    </w:p>
    <w:p w14:paraId="508E8997" w14:textId="77777777" w:rsidR="00E458FA" w:rsidRPr="00E458FA" w:rsidRDefault="00E458FA" w:rsidP="00E458FA">
      <w:pPr>
        <w:tabs>
          <w:tab w:val="left" w:pos="567"/>
        </w:tabs>
        <w:spacing w:after="288" w:line="240" w:lineRule="auto"/>
        <w:ind w:left="142" w:right="11"/>
        <w:rPr>
          <w:rFonts w:eastAsia="Times New Roman" w:cs="Arial"/>
          <w:szCs w:val="24"/>
        </w:rPr>
      </w:pPr>
    </w:p>
    <w:p w14:paraId="07413429" w14:textId="77777777"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What safeguards for providers should be considered to limit the use of such powers?</w:t>
      </w:r>
    </w:p>
    <w:p w14:paraId="6B7AB540" w14:textId="77777777" w:rsidR="00E458FA" w:rsidRPr="00E458FA" w:rsidRDefault="00E458FA" w:rsidP="00E458FA">
      <w:pPr>
        <w:tabs>
          <w:tab w:val="left" w:pos="567"/>
        </w:tabs>
        <w:spacing w:after="288" w:line="240" w:lineRule="auto"/>
        <w:ind w:left="142" w:right="11"/>
        <w:rPr>
          <w:rFonts w:eastAsia="Times New Roman" w:cs="Arial"/>
          <w:szCs w:val="24"/>
        </w:rPr>
      </w:pPr>
    </w:p>
    <w:p w14:paraId="5D884678" w14:textId="77777777" w:rsidR="00E458FA" w:rsidRPr="00E458FA" w:rsidRDefault="00E458FA" w:rsidP="00E458FA">
      <w:pPr>
        <w:tabs>
          <w:tab w:val="left" w:pos="567"/>
        </w:tabs>
        <w:spacing w:after="288" w:line="240" w:lineRule="auto"/>
        <w:ind w:left="142" w:right="11"/>
        <w:rPr>
          <w:rFonts w:eastAsia="Times New Roman" w:cs="Arial"/>
          <w:szCs w:val="24"/>
        </w:rPr>
      </w:pPr>
    </w:p>
    <w:p w14:paraId="50044AED"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23: Do you agree with the proposed deregulatory measures?  </w:t>
      </w:r>
    </w:p>
    <w:p w14:paraId="4FBB3E10" w14:textId="06A3E1B4"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217630817"/>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38669189"/>
          <w14:checkbox>
            <w14:checked w14:val="0"/>
            <w14:checkedState w14:val="2612" w14:font="MS Gothic"/>
            <w14:uncheckedState w14:val="2610" w14:font="MS Gothic"/>
          </w14:checkbox>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75714231"/>
          <w14:checkbox>
            <w14:checked w14:val="1"/>
            <w14:checkedState w14:val="2612" w14:font="MS Gothic"/>
            <w14:uncheckedState w14:val="2610" w14:font="MS Gothic"/>
          </w14:checkbox>
        </w:sdtPr>
        <w:sdtEndPr/>
        <w:sdtContent>
          <w:r w:rsidR="0039569E">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5D48CF17"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 including how the proposals would change the burden on providers.  Please quantify the benefits and/or costs where possible.</w:t>
      </w:r>
    </w:p>
    <w:p w14:paraId="4D3D990B" w14:textId="77777777" w:rsidR="00E458FA" w:rsidRPr="00E458FA" w:rsidRDefault="00E458FA" w:rsidP="00E458FA">
      <w:pPr>
        <w:spacing w:after="288" w:line="240" w:lineRule="auto"/>
        <w:ind w:left="142"/>
        <w:rPr>
          <w:rFonts w:eastAsia="Times New Roman" w:cs="Times New Roman"/>
          <w:szCs w:val="24"/>
        </w:rPr>
      </w:pPr>
    </w:p>
    <w:p w14:paraId="4F252638" w14:textId="77777777" w:rsidR="00E458FA" w:rsidRPr="00E458FA" w:rsidRDefault="00E458FA" w:rsidP="00E458FA">
      <w:pPr>
        <w:numPr>
          <w:ilvl w:val="1"/>
          <w:numId w:val="0"/>
        </w:numPr>
        <w:spacing w:after="288" w:line="240" w:lineRule="auto"/>
        <w:ind w:left="142"/>
        <w:rPr>
          <w:rFonts w:eastAsiaTheme="majorEastAsia" w:cstheme="majorBidi"/>
          <w:b/>
          <w:iCs/>
          <w:color w:val="4F81BD" w:themeColor="accent1"/>
          <w:spacing w:val="15"/>
          <w:sz w:val="26"/>
          <w:szCs w:val="24"/>
          <w:u w:val="single"/>
        </w:rPr>
      </w:pPr>
    </w:p>
    <w:p w14:paraId="5F380969"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4" w:name="_Toc434412502"/>
      <w:r w:rsidRPr="00E458FA">
        <w:rPr>
          <w:rFonts w:eastAsia="Times New Roman" w:cs="Times New Roman"/>
          <w:b/>
          <w:bCs/>
          <w:color w:val="009BBB"/>
          <w:sz w:val="26"/>
          <w:szCs w:val="26"/>
        </w:rPr>
        <w:t>Reducing complexity and bureaucracy in research funding (Part D)</w:t>
      </w:r>
      <w:bookmarkEnd w:id="14"/>
    </w:p>
    <w:p w14:paraId="03CDDD89"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24: In light of the proposed changes to the institutional framework for higher education, and the forthcoming Nurse Review, what are your views on the future design of the institutional research landscape?</w:t>
      </w:r>
    </w:p>
    <w:p w14:paraId="0BB882D3" w14:textId="77777777" w:rsidR="00E458FA" w:rsidRPr="00E458FA" w:rsidRDefault="00E458FA" w:rsidP="00E458FA">
      <w:pPr>
        <w:tabs>
          <w:tab w:val="left" w:pos="567"/>
        </w:tabs>
        <w:spacing w:after="288" w:line="240" w:lineRule="auto"/>
        <w:ind w:left="142" w:right="11"/>
        <w:rPr>
          <w:rFonts w:eastAsia="Times New Roman" w:cs="Arial"/>
          <w:szCs w:val="24"/>
        </w:rPr>
      </w:pPr>
    </w:p>
    <w:p w14:paraId="407F9904" w14:textId="77777777" w:rsidR="00E458FA" w:rsidRPr="00E458FA" w:rsidRDefault="00E458FA" w:rsidP="00E458FA">
      <w:pPr>
        <w:tabs>
          <w:tab w:val="left" w:pos="567"/>
        </w:tabs>
        <w:spacing w:after="288" w:line="240" w:lineRule="auto"/>
        <w:ind w:right="11"/>
        <w:rPr>
          <w:rFonts w:eastAsia="Times New Roman" w:cs="Arial"/>
          <w:szCs w:val="24"/>
        </w:rPr>
      </w:pPr>
    </w:p>
    <w:p w14:paraId="7A1E096A"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25:</w:t>
      </w:r>
    </w:p>
    <w:p w14:paraId="6D5C14FA" w14:textId="77777777" w:rsidR="00E458FA" w:rsidRPr="00E458FA" w:rsidRDefault="00E458FA" w:rsidP="00E458FA">
      <w:pPr>
        <w:numPr>
          <w:ilvl w:val="0"/>
          <w:numId w:val="26"/>
        </w:numPr>
        <w:tabs>
          <w:tab w:val="left" w:pos="567"/>
        </w:tabs>
        <w:spacing w:after="288" w:line="240" w:lineRule="auto"/>
        <w:ind w:right="11"/>
        <w:rPr>
          <w:rFonts w:eastAsia="Times New Roman" w:cs="Arial"/>
          <w:szCs w:val="24"/>
        </w:rPr>
      </w:pPr>
      <w:r w:rsidRPr="00E458FA">
        <w:rPr>
          <w:rFonts w:eastAsia="Times New Roman" w:cs="Arial"/>
          <w:szCs w:val="24"/>
        </w:rPr>
        <w:t>What safeguards would you want to see in place in the event that dual funding was operated within a single organisation?</w:t>
      </w:r>
    </w:p>
    <w:p w14:paraId="009DA333" w14:textId="3C182DA8" w:rsidR="00E458FA" w:rsidRPr="00E458FA" w:rsidRDefault="0039569E" w:rsidP="00E458FA">
      <w:pPr>
        <w:tabs>
          <w:tab w:val="left" w:pos="567"/>
        </w:tabs>
        <w:spacing w:after="288" w:line="240" w:lineRule="auto"/>
        <w:ind w:left="142" w:right="11"/>
        <w:rPr>
          <w:rFonts w:eastAsia="Times New Roman" w:cs="Arial"/>
          <w:szCs w:val="24"/>
        </w:rPr>
      </w:pPr>
      <w:r>
        <w:rPr>
          <w:rFonts w:eastAsia="Times New Roman" w:cs="Arial"/>
          <w:szCs w:val="24"/>
        </w:rPr>
        <w:t>The dual support funding mechanism is seen as one of the key reasons that UK research is world leading. This should be kept to ensure that all kinds of research, both tangible and blue skies, continue to receive appropriate funding.</w:t>
      </w:r>
    </w:p>
    <w:p w14:paraId="3A8A900E" w14:textId="77777777" w:rsidR="00E458FA" w:rsidRPr="00E458FA" w:rsidRDefault="00E458FA" w:rsidP="00E458FA">
      <w:pPr>
        <w:tabs>
          <w:tab w:val="left" w:pos="567"/>
        </w:tabs>
        <w:spacing w:after="288" w:line="240" w:lineRule="auto"/>
        <w:ind w:left="142" w:right="11"/>
        <w:rPr>
          <w:rFonts w:eastAsia="Times New Roman" w:cs="Arial"/>
          <w:szCs w:val="24"/>
        </w:rPr>
      </w:pPr>
    </w:p>
    <w:p w14:paraId="70C52939" w14:textId="77777777" w:rsidR="00E458FA" w:rsidRPr="00E458FA" w:rsidRDefault="00E458FA" w:rsidP="00E458FA">
      <w:pPr>
        <w:tabs>
          <w:tab w:val="left" w:pos="567"/>
        </w:tabs>
        <w:spacing w:after="288" w:line="240" w:lineRule="auto"/>
        <w:ind w:left="142" w:right="11"/>
        <w:rPr>
          <w:rFonts w:eastAsia="Times New Roman" w:cs="Arial"/>
          <w:szCs w:val="24"/>
        </w:rPr>
      </w:pPr>
    </w:p>
    <w:p w14:paraId="56CB6797" w14:textId="77777777" w:rsidR="00E458FA" w:rsidRPr="00E458FA" w:rsidRDefault="00E458FA" w:rsidP="00E458FA">
      <w:pPr>
        <w:numPr>
          <w:ilvl w:val="0"/>
          <w:numId w:val="26"/>
        </w:numPr>
        <w:tabs>
          <w:tab w:val="left" w:pos="567"/>
        </w:tabs>
        <w:spacing w:after="288" w:line="240" w:lineRule="auto"/>
        <w:ind w:right="11"/>
        <w:rPr>
          <w:rFonts w:eastAsia="Times New Roman" w:cs="Arial"/>
          <w:szCs w:val="24"/>
        </w:rPr>
      </w:pPr>
      <w:r w:rsidRPr="00E458FA">
        <w:rPr>
          <w:rFonts w:eastAsia="Times New Roman" w:cs="Arial"/>
          <w:szCs w:val="24"/>
        </w:rPr>
        <w:t xml:space="preserve">Would you favour a degree of hypothecation to ensure that dual funding streams, along with their distinctive characteristics, could not be changed by that organisation? </w:t>
      </w:r>
    </w:p>
    <w:p w14:paraId="5451FDAC" w14:textId="396150D0"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617647884"/>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675464568"/>
          <w14:checkbox>
            <w14:checked w14:val="0"/>
            <w14:checkedState w14:val="2612" w14:font="MS Gothic"/>
            <w14:uncheckedState w14:val="2610" w14:font="MS Gothic"/>
          </w14:checkbox>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7283413"/>
          <w14:checkbox>
            <w14:checked w14:val="1"/>
            <w14:checkedState w14:val="2612" w14:font="MS Gothic"/>
            <w14:uncheckedState w14:val="2610" w14:font="MS Gothic"/>
          </w14:checkbox>
        </w:sdtPr>
        <w:sdtEndPr/>
        <w:sdtContent>
          <w:r w:rsidR="0039569E">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687D85F3" w14:textId="77777777" w:rsidR="00E458FA" w:rsidRPr="00E458FA" w:rsidRDefault="00E458FA" w:rsidP="00E458FA">
      <w:pPr>
        <w:tabs>
          <w:tab w:val="left" w:pos="567"/>
        </w:tabs>
        <w:spacing w:after="288" w:line="240" w:lineRule="auto"/>
        <w:ind w:left="502" w:right="11"/>
        <w:rPr>
          <w:rFonts w:eastAsia="Times New Roman" w:cs="Arial"/>
          <w:szCs w:val="24"/>
        </w:rPr>
      </w:pPr>
      <w:r w:rsidRPr="00E458FA">
        <w:rPr>
          <w:rFonts w:eastAsia="Times New Roman" w:cs="Arial"/>
          <w:szCs w:val="24"/>
        </w:rPr>
        <w:t>Please give reasons for your answer</w:t>
      </w:r>
    </w:p>
    <w:p w14:paraId="3288ACA5" w14:textId="77777777" w:rsidR="00E458FA" w:rsidRPr="00E458FA" w:rsidRDefault="00E458FA" w:rsidP="00E458FA">
      <w:pPr>
        <w:tabs>
          <w:tab w:val="left" w:pos="567"/>
        </w:tabs>
        <w:spacing w:after="288" w:line="240" w:lineRule="auto"/>
        <w:ind w:left="142" w:right="11"/>
        <w:rPr>
          <w:rFonts w:eastAsia="Times New Roman" w:cs="Arial"/>
          <w:szCs w:val="24"/>
        </w:rPr>
      </w:pPr>
    </w:p>
    <w:p w14:paraId="405408F6" w14:textId="77777777" w:rsidR="00E458FA" w:rsidRPr="00E458FA" w:rsidRDefault="00E458FA" w:rsidP="00E458FA">
      <w:pPr>
        <w:tabs>
          <w:tab w:val="left" w:pos="567"/>
        </w:tabs>
        <w:spacing w:after="288" w:line="240" w:lineRule="auto"/>
        <w:ind w:left="142" w:right="11"/>
        <w:rPr>
          <w:rFonts w:eastAsia="Times New Roman" w:cs="Arial"/>
          <w:szCs w:val="24"/>
        </w:rPr>
      </w:pPr>
    </w:p>
    <w:p w14:paraId="72E8A918" w14:textId="77777777" w:rsidR="00E458FA" w:rsidRPr="00E458FA" w:rsidRDefault="00E458FA" w:rsidP="00E458FA">
      <w:pPr>
        <w:tabs>
          <w:tab w:val="left" w:pos="567"/>
        </w:tabs>
        <w:spacing w:after="288" w:line="240" w:lineRule="auto"/>
        <w:ind w:left="142" w:right="11"/>
        <w:rPr>
          <w:rFonts w:eastAsia="Times New Roman" w:cs="Arial"/>
          <w:szCs w:val="24"/>
        </w:rPr>
      </w:pPr>
    </w:p>
    <w:p w14:paraId="62ABF4DA"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26: What are the benefits of the REF to a) your institution and b) to the wider sector? How can we ensure they are preserved?</w:t>
      </w:r>
    </w:p>
    <w:p w14:paraId="79DD4834" w14:textId="6F43D9C7" w:rsidR="00E458FA" w:rsidRPr="00E458FA" w:rsidRDefault="0039569E" w:rsidP="00E458FA">
      <w:pPr>
        <w:tabs>
          <w:tab w:val="left" w:pos="567"/>
        </w:tabs>
        <w:spacing w:after="288" w:line="240" w:lineRule="auto"/>
        <w:ind w:left="142" w:right="11"/>
        <w:rPr>
          <w:rFonts w:eastAsia="Times New Roman" w:cs="Arial"/>
          <w:szCs w:val="24"/>
        </w:rPr>
      </w:pPr>
      <w:r>
        <w:rPr>
          <w:rFonts w:eastAsia="Times New Roman" w:cs="Arial"/>
          <w:szCs w:val="24"/>
        </w:rPr>
        <w:t xml:space="preserve">My institution does not take part in the REF. For those that do it is a crucial exercise to benchmark research activity and it allows the UK to show off its excellent research profile. </w:t>
      </w:r>
    </w:p>
    <w:p w14:paraId="3927DA24" w14:textId="77777777" w:rsidR="00E458FA" w:rsidRPr="00E458FA" w:rsidRDefault="00E458FA" w:rsidP="00E458FA">
      <w:pPr>
        <w:tabs>
          <w:tab w:val="left" w:pos="567"/>
        </w:tabs>
        <w:spacing w:after="288" w:line="240" w:lineRule="auto"/>
        <w:ind w:left="142" w:right="11"/>
        <w:rPr>
          <w:rFonts w:eastAsia="Times New Roman" w:cs="Arial"/>
          <w:szCs w:val="24"/>
        </w:rPr>
      </w:pPr>
    </w:p>
    <w:p w14:paraId="48E87C9B" w14:textId="77777777" w:rsidR="00E458FA" w:rsidRDefault="00E458FA" w:rsidP="00E458FA">
      <w:pPr>
        <w:tabs>
          <w:tab w:val="left" w:pos="567"/>
        </w:tabs>
        <w:spacing w:after="288" w:line="240" w:lineRule="auto"/>
        <w:ind w:left="142" w:right="11"/>
        <w:rPr>
          <w:rFonts w:eastAsia="Times New Roman" w:cs="Arial"/>
          <w:szCs w:val="24"/>
        </w:rPr>
      </w:pPr>
    </w:p>
    <w:p w14:paraId="69E72E1F" w14:textId="77777777" w:rsidR="005A6420" w:rsidRDefault="005A6420" w:rsidP="00E458FA">
      <w:pPr>
        <w:tabs>
          <w:tab w:val="left" w:pos="567"/>
        </w:tabs>
        <w:spacing w:after="288" w:line="240" w:lineRule="auto"/>
        <w:ind w:left="142" w:right="11"/>
        <w:rPr>
          <w:rFonts w:eastAsia="Times New Roman" w:cs="Arial"/>
          <w:szCs w:val="24"/>
        </w:rPr>
      </w:pPr>
    </w:p>
    <w:p w14:paraId="64E13BC4" w14:textId="77777777" w:rsidR="005A6420" w:rsidRDefault="005A6420" w:rsidP="00E458FA">
      <w:pPr>
        <w:tabs>
          <w:tab w:val="left" w:pos="567"/>
        </w:tabs>
        <w:spacing w:after="288" w:line="240" w:lineRule="auto"/>
        <w:ind w:left="142" w:right="11"/>
        <w:rPr>
          <w:rFonts w:eastAsia="Times New Roman" w:cs="Arial"/>
          <w:szCs w:val="24"/>
        </w:rPr>
      </w:pPr>
    </w:p>
    <w:p w14:paraId="2FBECC9C" w14:textId="77777777" w:rsidR="005A6420" w:rsidRDefault="005A6420" w:rsidP="00E458FA">
      <w:pPr>
        <w:tabs>
          <w:tab w:val="left" w:pos="567"/>
        </w:tabs>
        <w:spacing w:after="288" w:line="240" w:lineRule="auto"/>
        <w:ind w:left="142" w:right="11"/>
        <w:rPr>
          <w:rFonts w:eastAsia="Times New Roman" w:cs="Arial"/>
          <w:szCs w:val="24"/>
        </w:rPr>
      </w:pPr>
    </w:p>
    <w:p w14:paraId="45BC408F" w14:textId="77777777" w:rsidR="005A6420" w:rsidRPr="00E458FA" w:rsidRDefault="005A6420" w:rsidP="00E458FA">
      <w:pPr>
        <w:tabs>
          <w:tab w:val="left" w:pos="567"/>
        </w:tabs>
        <w:spacing w:after="288" w:line="240" w:lineRule="auto"/>
        <w:ind w:left="142" w:right="11"/>
        <w:rPr>
          <w:rFonts w:eastAsia="Times New Roman" w:cs="Arial"/>
          <w:szCs w:val="24"/>
        </w:rPr>
      </w:pPr>
    </w:p>
    <w:p w14:paraId="7320E7D2" w14:textId="19069045" w:rsidR="00E458FA" w:rsidRDefault="00E458FA" w:rsidP="0039569E">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Question 27: How would you suggest the burden of REF exercises is reduced?</w:t>
      </w:r>
    </w:p>
    <w:p w14:paraId="2BD96CFA" w14:textId="77777777" w:rsidR="0039569E" w:rsidRPr="0039569E" w:rsidRDefault="0039569E" w:rsidP="0039569E">
      <w:pPr>
        <w:tabs>
          <w:tab w:val="left" w:pos="567"/>
        </w:tabs>
        <w:spacing w:after="288" w:line="240" w:lineRule="auto"/>
        <w:ind w:left="142" w:right="11"/>
        <w:rPr>
          <w:rFonts w:eastAsia="Times New Roman" w:cs="Arial"/>
          <w:szCs w:val="24"/>
        </w:rPr>
      </w:pPr>
    </w:p>
    <w:p w14:paraId="506A491E" w14:textId="77777777" w:rsidR="00E458FA" w:rsidRPr="00E458FA" w:rsidRDefault="00E458FA" w:rsidP="00E458FA">
      <w:pPr>
        <w:tabs>
          <w:tab w:val="left" w:pos="567"/>
        </w:tabs>
        <w:spacing w:after="288" w:line="240" w:lineRule="auto"/>
        <w:ind w:left="142" w:right="11"/>
        <w:rPr>
          <w:rFonts w:eastAsia="Times New Roman" w:cs="Times New Roman"/>
          <w:bCs/>
          <w:iCs/>
          <w:szCs w:val="24"/>
        </w:rPr>
      </w:pPr>
    </w:p>
    <w:p w14:paraId="1883D80C" w14:textId="77777777" w:rsidR="00E458FA" w:rsidRPr="00E458FA" w:rsidRDefault="00E458FA" w:rsidP="00E458FA">
      <w:pPr>
        <w:tabs>
          <w:tab w:val="left" w:pos="567"/>
        </w:tabs>
        <w:spacing w:after="288" w:line="240" w:lineRule="auto"/>
        <w:ind w:left="142" w:right="11"/>
        <w:rPr>
          <w:rFonts w:eastAsia="Times New Roman" w:cs="Times New Roman"/>
          <w:bCs/>
          <w:iCs/>
          <w:szCs w:val="24"/>
        </w:rPr>
      </w:pPr>
      <w:r w:rsidRPr="00E458FA">
        <w:rPr>
          <w:rFonts w:eastAsia="Times New Roman" w:cs="Times New Roman"/>
          <w:bCs/>
          <w:iCs/>
          <w:szCs w:val="24"/>
        </w:rPr>
        <w:t xml:space="preserve">Question 28: How could the data infrastructure underpinning research information management be improved? </w:t>
      </w:r>
    </w:p>
    <w:p w14:paraId="1503F72A" w14:textId="77777777" w:rsidR="00E458FA" w:rsidRPr="00E458FA" w:rsidRDefault="00E458FA" w:rsidP="00E458FA">
      <w:pPr>
        <w:spacing w:after="288" w:line="240" w:lineRule="auto"/>
        <w:ind w:left="142"/>
        <w:rPr>
          <w:rFonts w:eastAsia="Times New Roman" w:cs="Times New Roman"/>
          <w:szCs w:val="24"/>
        </w:rPr>
      </w:pPr>
    </w:p>
    <w:p w14:paraId="7A1B68E1" w14:textId="77777777" w:rsidR="00E458FA" w:rsidRPr="00E458FA" w:rsidRDefault="00E458FA" w:rsidP="005A6420">
      <w:pPr>
        <w:spacing w:after="288" w:line="240" w:lineRule="auto"/>
        <w:rPr>
          <w:rFonts w:eastAsia="Times New Roman" w:cs="Times New Roman"/>
          <w:szCs w:val="24"/>
        </w:rPr>
      </w:pPr>
    </w:p>
    <w:p w14:paraId="089370F5" w14:textId="77777777" w:rsidR="00E458FA" w:rsidRPr="00E458FA" w:rsidRDefault="00E458FA" w:rsidP="00E458FA">
      <w:pPr>
        <w:spacing w:after="288" w:line="240" w:lineRule="auto"/>
        <w:ind w:left="142"/>
        <w:rPr>
          <w:rFonts w:eastAsia="Times New Roman" w:cs="Times New Roman"/>
          <w:b/>
          <w:szCs w:val="24"/>
        </w:rPr>
      </w:pPr>
      <w:bookmarkStart w:id="15" w:name="_Toc222902189"/>
      <w:bookmarkStart w:id="16" w:name="_Toc337743660"/>
      <w:bookmarkStart w:id="17" w:name="_Toc426987240"/>
      <w:r w:rsidRPr="00E458FA">
        <w:rPr>
          <w:rFonts w:eastAsia="Times New Roman" w:cs="Times New Roman"/>
          <w:b/>
          <w:szCs w:val="24"/>
        </w:rPr>
        <w:t>Do you have any other comments that might aid the consultation process as a whole?</w:t>
      </w:r>
      <w:bookmarkEnd w:id="15"/>
      <w:bookmarkEnd w:id="16"/>
      <w:bookmarkEnd w:id="17"/>
    </w:p>
    <w:p w14:paraId="1B612C2A"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use this space for any general comments that you may have, comments on the layout of this consultation would also be welcomed.</w:t>
      </w:r>
    </w:p>
    <w:p w14:paraId="79E813D5" w14:textId="77777777" w:rsidR="00E458FA" w:rsidRPr="00E458FA" w:rsidRDefault="00E458FA" w:rsidP="00E458FA">
      <w:pPr>
        <w:spacing w:after="288" w:line="240" w:lineRule="auto"/>
        <w:ind w:left="142"/>
        <w:rPr>
          <w:rFonts w:eastAsia="Times New Roman" w:cs="Times New Roman"/>
          <w:szCs w:val="24"/>
        </w:rPr>
      </w:pPr>
    </w:p>
    <w:p w14:paraId="574DC4A5" w14:textId="77777777" w:rsidR="00E458FA" w:rsidRPr="00E458FA" w:rsidRDefault="00E458FA" w:rsidP="00E458FA">
      <w:pPr>
        <w:spacing w:after="288" w:line="240" w:lineRule="auto"/>
        <w:ind w:left="142"/>
        <w:rPr>
          <w:rFonts w:eastAsia="Times New Roman" w:cs="Times New Roman"/>
          <w:szCs w:val="24"/>
        </w:rPr>
      </w:pPr>
    </w:p>
    <w:p w14:paraId="5D7DC7EE" w14:textId="77777777" w:rsidR="00E458FA" w:rsidRPr="00E458FA" w:rsidRDefault="00E458FA" w:rsidP="00E458FA">
      <w:pPr>
        <w:spacing w:after="288" w:line="240" w:lineRule="auto"/>
        <w:ind w:left="142"/>
        <w:rPr>
          <w:rFonts w:eastAsia="Times New Roman" w:cs="Times New Roman"/>
          <w:szCs w:val="24"/>
        </w:rPr>
      </w:pPr>
    </w:p>
    <w:p w14:paraId="3D6BD512" w14:textId="77777777" w:rsidR="00E458FA" w:rsidRPr="00E458FA" w:rsidRDefault="00E458FA" w:rsidP="00E458FA">
      <w:pPr>
        <w:spacing w:after="288" w:line="240" w:lineRule="auto"/>
        <w:ind w:left="142"/>
        <w:rPr>
          <w:rFonts w:eastAsia="Times New Roman" w:cs="Times New Roman"/>
          <w:szCs w:val="24"/>
        </w:rPr>
      </w:pPr>
    </w:p>
    <w:p w14:paraId="6CD9E4AF"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your views on this consultation. </w:t>
      </w:r>
    </w:p>
    <w:p w14:paraId="7E2702E9"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taking the time to let us have your views. We do not intend to acknowledge receipt of individual responses unless you tick the box below. </w:t>
      </w:r>
    </w:p>
    <w:p w14:paraId="39A78FDE" w14:textId="77B4041C"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Please acknowledge this reply </w:t>
      </w:r>
      <w:sdt>
        <w:sdtPr>
          <w:rPr>
            <w:rFonts w:eastAsia="Times New Roman" w:cs="Times New Roman"/>
            <w:szCs w:val="24"/>
          </w:rPr>
          <w:id w:val="-44844798"/>
          <w14:checkbox>
            <w14:checked w14:val="1"/>
            <w14:checkedState w14:val="2612" w14:font="MS Gothic"/>
            <w14:uncheckedState w14:val="2610" w14:font="MS Gothic"/>
          </w14:checkbox>
        </w:sdtPr>
        <w:sdtEndPr/>
        <w:sdtContent>
          <w:r w:rsidR="0039569E">
            <w:rPr>
              <w:rFonts w:ascii="MS Gothic" w:eastAsia="MS Gothic" w:hAnsi="MS Gothic" w:cs="Times New Roman" w:hint="eastAsia"/>
              <w:szCs w:val="24"/>
            </w:rPr>
            <w:t>☒</w:t>
          </w:r>
        </w:sdtContent>
      </w:sdt>
    </w:p>
    <w:p w14:paraId="6C470ECA"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At BIS we carry out our research on many different topics and consultations. As your views are valuable to us, would it be okay if we were to contact you again from time to time either for research or to send through consultation documents? </w:t>
      </w:r>
    </w:p>
    <w:p w14:paraId="7D0F3EBC" w14:textId="5DA41C19" w:rsidR="00E577FA" w:rsidRDefault="00397D72" w:rsidP="00E458FA">
      <w:pPr>
        <w:spacing w:after="288" w:line="240" w:lineRule="auto"/>
        <w:ind w:left="142"/>
        <w:rPr>
          <w:rFonts w:eastAsia="Times New Roman" w:cs="Times New Roman"/>
          <w:szCs w:val="24"/>
        </w:rPr>
      </w:pPr>
      <w:sdt>
        <w:sdtPr>
          <w:rPr>
            <w:rFonts w:eastAsia="Times New Roman" w:cs="Times New Roman"/>
            <w:szCs w:val="24"/>
          </w:rPr>
          <w:id w:val="-924029108"/>
          <w14:checkbox>
            <w14:checked w14:val="1"/>
            <w14:checkedState w14:val="2612" w14:font="MS Gothic"/>
            <w14:uncheckedState w14:val="2610" w14:font="MS Gothic"/>
          </w14:checkbox>
        </w:sdtPr>
        <w:sdtEndPr/>
        <w:sdtContent>
          <w:r w:rsidR="0039569E">
            <w:rPr>
              <w:rFonts w:ascii="MS Gothic" w:eastAsia="MS Gothic" w:hAnsi="MS Gothic" w:cs="Times New Roman" w:hint="eastAsia"/>
              <w:szCs w:val="24"/>
            </w:rPr>
            <w:t>☒</w:t>
          </w:r>
        </w:sdtContent>
      </w:sdt>
      <w:r w:rsidR="00E458FA" w:rsidRPr="00E458FA">
        <w:rPr>
          <w:rFonts w:eastAsia="Times New Roman" w:cs="Times New Roman"/>
          <w:szCs w:val="24"/>
        </w:rPr>
        <w:t xml:space="preserve">Yes    </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932185986"/>
          <w14:checkbox>
            <w14:checked w14:val="0"/>
            <w14:checkedState w14:val="2612" w14:font="MS Gothic"/>
            <w14:uncheckedState w14:val="2610" w14:font="MS Gothic"/>
          </w14:checkbox>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w:t>
      </w:r>
    </w:p>
    <w:p w14:paraId="4CE6AD1B" w14:textId="77777777" w:rsidR="00323663" w:rsidRDefault="00323663" w:rsidP="00E458FA">
      <w:pPr>
        <w:spacing w:after="288" w:line="240" w:lineRule="auto"/>
        <w:ind w:left="142"/>
      </w:pPr>
      <w:r>
        <w:rPr>
          <w:rFonts w:eastAsia="Times New Roman" w:cs="Times New Roman"/>
          <w:b/>
          <w:szCs w:val="24"/>
        </w:rPr>
        <w:t>BIS/15/623/RF</w:t>
      </w:r>
    </w:p>
    <w:sectPr w:rsidR="00323663">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FA468E" w14:textId="77777777" w:rsidR="00397D72" w:rsidRDefault="00397D72">
      <w:pPr>
        <w:spacing w:after="0" w:line="240" w:lineRule="auto"/>
      </w:pPr>
      <w:r>
        <w:separator/>
      </w:r>
    </w:p>
  </w:endnote>
  <w:endnote w:type="continuationSeparator" w:id="0">
    <w:p w14:paraId="628C43D7" w14:textId="77777777" w:rsidR="00397D72" w:rsidRDefault="00397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Gothic">
    <w:panose1 w:val="020B06090702050802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EF5A9" w14:textId="77777777" w:rsidR="00504C64" w:rsidRDefault="00504C6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351A0" w14:textId="77777777" w:rsidR="00504C64" w:rsidRDefault="00504C64">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30117" w14:textId="77777777" w:rsidR="00504C64" w:rsidRDefault="00504C6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78F59" w14:textId="77777777" w:rsidR="00397D72" w:rsidRDefault="00397D72">
      <w:pPr>
        <w:spacing w:after="0" w:line="240" w:lineRule="auto"/>
      </w:pPr>
      <w:r>
        <w:separator/>
      </w:r>
    </w:p>
  </w:footnote>
  <w:footnote w:type="continuationSeparator" w:id="0">
    <w:p w14:paraId="269DF832" w14:textId="77777777" w:rsidR="00397D72" w:rsidRDefault="00397D7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23F12" w14:textId="77777777" w:rsidR="00504C64" w:rsidRPr="00A95640" w:rsidRDefault="00504C64" w:rsidP="00504C64">
    <w:pPr>
      <w:pStyle w:val="BISEvenHeader"/>
    </w:pPr>
    <w:r>
      <w:rPr>
        <w:noProof/>
        <w:lang w:val="en-US"/>
      </w:rPr>
      <mc:AlternateContent>
        <mc:Choice Requires="wps">
          <w:drawing>
            <wp:anchor distT="0" distB="0" distL="114300" distR="114300" simplePos="0" relativeHeight="251661312" behindDoc="0" locked="0" layoutInCell="1" allowOverlap="1" wp14:anchorId="72780202" wp14:editId="00F20762">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347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" strokecolor="#003478" strokeweight="1pt">
              <w10:wrap type="tight" anchorx="page" anchory="page"/>
            </v:line>
          </w:pict>
        </mc:Fallback>
      </mc:AlternateContent>
    </w:r>
    <w:r>
      <w:t>BIS</w:t>
    </w:r>
    <w:r w:rsidRPr="00A95640">
      <w:t xml:space="preserve"> running header</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0A9C35" w14:textId="77777777" w:rsidR="00504C64" w:rsidRPr="00D90412" w:rsidRDefault="00504C64" w:rsidP="00504C64">
    <w:pPr>
      <w:pStyle w:val="BISOddHeader"/>
    </w:pPr>
    <w:r>
      <w:rPr>
        <w:noProof/>
        <w:lang w:val="en-US"/>
      </w:rPr>
      <mc:AlternateContent>
        <mc:Choice Requires="wps">
          <w:drawing>
            <wp:anchor distT="0" distB="0" distL="114300" distR="114300" simplePos="0" relativeHeight="251662336" behindDoc="0" locked="0" layoutInCell="1" allowOverlap="1" wp14:anchorId="6011E96E" wp14:editId="2A350EF5">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2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AE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" strokecolor="#00aeef" strokeweight="1pt">
              <w10:wrap type="tight" anchorx="page" anchory="page"/>
            </v:line>
          </w:pict>
        </mc:Fallback>
      </mc:AlternateContent>
    </w:r>
    <w:r>
      <w:t>Fulfilling our Potential: Teaching Excellence, Social Mobility and Student Choice</w:t>
    </w:r>
  </w:p>
  <w:p w14:paraId="3317882D" w14:textId="77777777" w:rsidR="00504C64" w:rsidRPr="003A1E6F" w:rsidRDefault="00504C64" w:rsidP="00504C64">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A8FB7" w14:textId="77777777" w:rsidR="00504C64" w:rsidRDefault="00504C6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E036E"/>
    <w:multiLevelType w:val="hybridMultilevel"/>
    <w:tmpl w:val="12FC895E"/>
    <w:lvl w:ilvl="0" w:tplc="1FAA2BE4">
      <w:start w:val="1"/>
      <w:numFmt w:val="decimal"/>
      <w:pStyle w:val="Bullet1st"/>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36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9844948"/>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0C651E14"/>
    <w:multiLevelType w:val="hybridMultilevel"/>
    <w:tmpl w:val="1186BBC6"/>
    <w:lvl w:ilvl="0" w:tplc="A2484736">
      <w:start w:val="1"/>
      <w:numFmt w:val="bullet"/>
      <w:pStyle w:val="Question"/>
      <w:lvlText w:val=""/>
      <w:lvlJc w:val="left"/>
      <w:pPr>
        <w:ind w:left="4046" w:hanging="360"/>
      </w:pPr>
      <w:rPr>
        <w:rFonts w:ascii="Symbol" w:hAnsi="Symbol" w:hint="default"/>
      </w:rPr>
    </w:lvl>
    <w:lvl w:ilvl="1" w:tplc="08090003">
      <w:start w:val="1"/>
      <w:numFmt w:val="bullet"/>
      <w:pStyle w:val="Bullet2ndinden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nsid w:val="1ACC4BE7"/>
    <w:multiLevelType w:val="hybridMultilevel"/>
    <w:tmpl w:val="AA146D74"/>
    <w:lvl w:ilvl="0" w:tplc="F8DA5E58">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nsid w:val="49493F89"/>
    <w:multiLevelType w:val="hybridMultilevel"/>
    <w:tmpl w:val="5C709D34"/>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nsid w:val="49F2051B"/>
    <w:multiLevelType w:val="hybridMultilevel"/>
    <w:tmpl w:val="D638DAD6"/>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nsid w:val="4A776AC0"/>
    <w:multiLevelType w:val="hybridMultilevel"/>
    <w:tmpl w:val="0BAC1EAE"/>
    <w:lvl w:ilvl="0" w:tplc="BCD8522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nsid w:val="4B652CAF"/>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nsid w:val="5F8830A2"/>
    <w:multiLevelType w:val="hybridMultilevel"/>
    <w:tmpl w:val="B9FA55AC"/>
    <w:lvl w:ilvl="0" w:tplc="720EF47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nsid w:val="6A3E1529"/>
    <w:multiLevelType w:val="hybridMultilevel"/>
    <w:tmpl w:val="F54C2F5A"/>
    <w:lvl w:ilvl="0" w:tplc="08090001">
      <w:start w:val="1"/>
      <w:numFmt w:val="bullet"/>
      <w:lvlText w:val=""/>
      <w:lvlJc w:val="left"/>
      <w:pPr>
        <w:ind w:left="360" w:hanging="360"/>
      </w:pPr>
      <w:rPr>
        <w:rFonts w:ascii="Symbol" w:hAnsi="Symbol" w:hint="default"/>
      </w:rPr>
    </w:lvl>
    <w:lvl w:ilvl="1" w:tplc="EFB207F8">
      <w:numFmt w:val="bullet"/>
      <w:lvlText w:val="-"/>
      <w:lvlJc w:val="left"/>
      <w:pPr>
        <w:ind w:left="1080" w:hanging="360"/>
      </w:pPr>
      <w:rPr>
        <w:rFonts w:ascii="Arial" w:eastAsia="Times New Roman" w:hAnsi="Arial" w:cs="Aria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6BAF6A3D"/>
    <w:multiLevelType w:val="hybridMultilevel"/>
    <w:tmpl w:val="A9F6DE6E"/>
    <w:lvl w:ilvl="0" w:tplc="70281D98">
      <w:start w:val="1"/>
      <w:numFmt w:val="lowerLetter"/>
      <w:lvlText w:val="%1)"/>
      <w:lvlJc w:val="left"/>
      <w:pPr>
        <w:ind w:left="502" w:hanging="360"/>
      </w:pPr>
      <w:rPr>
        <w:rFonts w:cs="Aria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nsid w:val="7DD81714"/>
    <w:multiLevelType w:val="hybridMultilevel"/>
    <w:tmpl w:val="FCAAA752"/>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2"/>
  </w:num>
  <w:num w:numId="2">
    <w:abstractNumId w:val="9"/>
  </w:num>
  <w:num w:numId="3">
    <w:abstractNumId w:val="0"/>
  </w:num>
  <w:num w:numId="4">
    <w:abstractNumId w:val="2"/>
  </w:num>
  <w:num w:numId="5">
    <w:abstractNumId w:val="9"/>
  </w:num>
  <w:num w:numId="6">
    <w:abstractNumId w:val="0"/>
  </w:num>
  <w:num w:numId="7">
    <w:abstractNumId w:val="2"/>
  </w:num>
  <w:num w:numId="8">
    <w:abstractNumId w:val="0"/>
  </w:num>
  <w:num w:numId="9">
    <w:abstractNumId w:val="2"/>
  </w:num>
  <w:num w:numId="10">
    <w:abstractNumId w:val="9"/>
  </w:num>
  <w:num w:numId="11">
    <w:abstractNumId w:val="0"/>
  </w:num>
  <w:num w:numId="12">
    <w:abstractNumId w:val="2"/>
  </w:num>
  <w:num w:numId="13">
    <w:abstractNumId w:val="9"/>
  </w:num>
  <w:num w:numId="14">
    <w:abstractNumId w:val="0"/>
  </w:num>
  <w:num w:numId="15">
    <w:abstractNumId w:val="2"/>
  </w:num>
  <w:num w:numId="16">
    <w:abstractNumId w:val="9"/>
  </w:num>
  <w:num w:numId="17">
    <w:abstractNumId w:val="0"/>
  </w:num>
  <w:num w:numId="18">
    <w:abstractNumId w:val="10"/>
  </w:num>
  <w:num w:numId="19">
    <w:abstractNumId w:val="6"/>
  </w:num>
  <w:num w:numId="20">
    <w:abstractNumId w:val="8"/>
  </w:num>
  <w:num w:numId="21">
    <w:abstractNumId w:val="7"/>
  </w:num>
  <w:num w:numId="22">
    <w:abstractNumId w:val="1"/>
  </w:num>
  <w:num w:numId="23">
    <w:abstractNumId w:val="4"/>
  </w:num>
  <w:num w:numId="24">
    <w:abstractNumId w:val="11"/>
  </w:num>
  <w:num w:numId="25">
    <w:abstractNumId w:val="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8FA"/>
    <w:rsid w:val="00000F71"/>
    <w:rsid w:val="00007FD0"/>
    <w:rsid w:val="00047AE9"/>
    <w:rsid w:val="000562DC"/>
    <w:rsid w:val="00067990"/>
    <w:rsid w:val="00070876"/>
    <w:rsid w:val="0009773D"/>
    <w:rsid w:val="000A7190"/>
    <w:rsid w:val="000A73B0"/>
    <w:rsid w:val="000E2FD4"/>
    <w:rsid w:val="00105684"/>
    <w:rsid w:val="00125755"/>
    <w:rsid w:val="00153CCD"/>
    <w:rsid w:val="00174D26"/>
    <w:rsid w:val="00180B01"/>
    <w:rsid w:val="00182716"/>
    <w:rsid w:val="001A5236"/>
    <w:rsid w:val="001A54B9"/>
    <w:rsid w:val="00201C81"/>
    <w:rsid w:val="00203D46"/>
    <w:rsid w:val="002044C4"/>
    <w:rsid w:val="00237290"/>
    <w:rsid w:val="002462E6"/>
    <w:rsid w:val="002A2544"/>
    <w:rsid w:val="002C3E5A"/>
    <w:rsid w:val="003001E5"/>
    <w:rsid w:val="00323663"/>
    <w:rsid w:val="00336E0C"/>
    <w:rsid w:val="00356F36"/>
    <w:rsid w:val="00394D81"/>
    <w:rsid w:val="0039569E"/>
    <w:rsid w:val="00396779"/>
    <w:rsid w:val="00397D72"/>
    <w:rsid w:val="003C3399"/>
    <w:rsid w:val="003E23F4"/>
    <w:rsid w:val="003E666D"/>
    <w:rsid w:val="003F55A1"/>
    <w:rsid w:val="00415DF8"/>
    <w:rsid w:val="00457B1B"/>
    <w:rsid w:val="0047208F"/>
    <w:rsid w:val="004A0190"/>
    <w:rsid w:val="004B35D9"/>
    <w:rsid w:val="004C04B6"/>
    <w:rsid w:val="004C0CEB"/>
    <w:rsid w:val="004D6BD9"/>
    <w:rsid w:val="004F73D8"/>
    <w:rsid w:val="00504C64"/>
    <w:rsid w:val="0055206E"/>
    <w:rsid w:val="00577D31"/>
    <w:rsid w:val="00592FB8"/>
    <w:rsid w:val="00593205"/>
    <w:rsid w:val="005A2368"/>
    <w:rsid w:val="005A6420"/>
    <w:rsid w:val="005B2C94"/>
    <w:rsid w:val="005D641B"/>
    <w:rsid w:val="005E38E2"/>
    <w:rsid w:val="005F01E9"/>
    <w:rsid w:val="00626944"/>
    <w:rsid w:val="00631CAB"/>
    <w:rsid w:val="0063340F"/>
    <w:rsid w:val="006374EF"/>
    <w:rsid w:val="00643A47"/>
    <w:rsid w:val="006445B7"/>
    <w:rsid w:val="00681925"/>
    <w:rsid w:val="006962A2"/>
    <w:rsid w:val="006C7C6B"/>
    <w:rsid w:val="00701104"/>
    <w:rsid w:val="00701C0C"/>
    <w:rsid w:val="00712660"/>
    <w:rsid w:val="0074202F"/>
    <w:rsid w:val="007873FB"/>
    <w:rsid w:val="007B4B3D"/>
    <w:rsid w:val="007B7887"/>
    <w:rsid w:val="007C01F2"/>
    <w:rsid w:val="007C5B12"/>
    <w:rsid w:val="007F048B"/>
    <w:rsid w:val="007F10F1"/>
    <w:rsid w:val="00803593"/>
    <w:rsid w:val="008262FF"/>
    <w:rsid w:val="0084263B"/>
    <w:rsid w:val="00863BEB"/>
    <w:rsid w:val="00875744"/>
    <w:rsid w:val="0089757F"/>
    <w:rsid w:val="0090600F"/>
    <w:rsid w:val="00907D1C"/>
    <w:rsid w:val="00907EA9"/>
    <w:rsid w:val="009107E2"/>
    <w:rsid w:val="0091431C"/>
    <w:rsid w:val="00926115"/>
    <w:rsid w:val="00964F75"/>
    <w:rsid w:val="009758E0"/>
    <w:rsid w:val="009D0E7B"/>
    <w:rsid w:val="00A1177B"/>
    <w:rsid w:val="00A1252E"/>
    <w:rsid w:val="00A24EC4"/>
    <w:rsid w:val="00A30938"/>
    <w:rsid w:val="00A36047"/>
    <w:rsid w:val="00A408A3"/>
    <w:rsid w:val="00A84A27"/>
    <w:rsid w:val="00AC7ADA"/>
    <w:rsid w:val="00AD4023"/>
    <w:rsid w:val="00AF10B5"/>
    <w:rsid w:val="00B0082C"/>
    <w:rsid w:val="00B12E24"/>
    <w:rsid w:val="00B76E69"/>
    <w:rsid w:val="00BA27F9"/>
    <w:rsid w:val="00BC1F28"/>
    <w:rsid w:val="00BD6742"/>
    <w:rsid w:val="00C051E0"/>
    <w:rsid w:val="00C61F99"/>
    <w:rsid w:val="00CA2268"/>
    <w:rsid w:val="00CA56C0"/>
    <w:rsid w:val="00CD161B"/>
    <w:rsid w:val="00CE3C8F"/>
    <w:rsid w:val="00CF4CD2"/>
    <w:rsid w:val="00DB7A21"/>
    <w:rsid w:val="00DC4AF2"/>
    <w:rsid w:val="00DC5464"/>
    <w:rsid w:val="00DE18B9"/>
    <w:rsid w:val="00DE35CF"/>
    <w:rsid w:val="00E0511E"/>
    <w:rsid w:val="00E20973"/>
    <w:rsid w:val="00E374D8"/>
    <w:rsid w:val="00E458FA"/>
    <w:rsid w:val="00E5497A"/>
    <w:rsid w:val="00E56478"/>
    <w:rsid w:val="00E577FA"/>
    <w:rsid w:val="00EB72A7"/>
    <w:rsid w:val="00EF7DD5"/>
    <w:rsid w:val="00F62B36"/>
    <w:rsid w:val="00F92AC4"/>
    <w:rsid w:val="00FB0D04"/>
    <w:rsid w:val="00FC1EAD"/>
    <w:rsid w:val="00FD08E8"/>
    <w:rsid w:val="00FF0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EE1A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6C0"/>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bisgovuk.citizenspace.com/he/fulfilling-our-potential%20" TargetMode="External"/><Relationship Id="rId20" Type="http://schemas.openxmlformats.org/officeDocument/2006/relationships/theme" Target="theme/theme1.xml"/><Relationship Id="rId10" Type="http://schemas.openxmlformats.org/officeDocument/2006/relationships/hyperlink" Target="https://www.gov.uk/government/consultations/higher-education-teaching-excellence-social-mobility-and-student-choice" TargetMode="External"/><Relationship Id="rId11" Type="http://schemas.openxmlformats.org/officeDocument/2006/relationships/hyperlink" Target="mailto:gordon@pointblanklondon.com" TargetMode="External"/><Relationship Id="rId12" Type="http://schemas.openxmlformats.org/officeDocument/2006/relationships/hyperlink" Target="mailto:consultation.he@bis.gsi.gov.uk"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intranet.bis.gov.uk/?attachment_id=16823"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6914</Words>
  <Characters>39411</Characters>
  <Application>Microsoft Macintosh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Fulfilling our Potential: Teaching Excellence, Social Mobility and Student Choice - Consultation</vt:lpstr>
    </vt:vector>
  </TitlesOfParts>
  <Company>BIS</Company>
  <LinksUpToDate>false</LinksUpToDate>
  <CharactersWithSpaces>46233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Fulfilling our Potential: Teaching Excellence, Social Mobility and Student Choice - Consultation</dc:title>
  <dc:creator>Haines Alison (HE)</dc:creator>
  <cp:lastModifiedBy>Gordon  Sweeney</cp:lastModifiedBy>
  <cp:revision>3</cp:revision>
  <cp:lastPrinted>2015-11-04T18:13:00Z</cp:lastPrinted>
  <dcterms:created xsi:type="dcterms:W3CDTF">2016-01-20T17:11:00Z</dcterms:created>
  <dcterms:modified xsi:type="dcterms:W3CDTF">2016-01-20T17:15:00Z</dcterms:modified>
</cp:coreProperties>
</file>