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715159" w14:textId="77777777" w:rsidR="007D5D5C" w:rsidRDefault="007D5D5C" w:rsidP="007D5D5C">
      <w:pPr>
        <w:pStyle w:val="NormalWeb"/>
        <w:rPr>
          <w:rFonts w:ascii="Arial" w:hAnsi="Arial" w:cs="Arial"/>
          <w:sz w:val="24"/>
          <w:szCs w:val="24"/>
        </w:rPr>
      </w:pPr>
    </w:p>
    <w:p w14:paraId="6A4AC0C2" w14:textId="77777777" w:rsidR="007D5D5C" w:rsidRDefault="007D5D5C" w:rsidP="007D5D5C">
      <w:pPr>
        <w:pStyle w:val="NormalWeb"/>
        <w:rPr>
          <w:rFonts w:asciiTheme="minorHAnsi" w:hAnsiTheme="minorHAnsi"/>
          <w:b/>
          <w:sz w:val="28"/>
          <w:szCs w:val="28"/>
        </w:rPr>
      </w:pPr>
      <w:bookmarkStart w:id="0" w:name="OLE_LINK1"/>
      <w:r w:rsidRPr="00666268">
        <w:rPr>
          <w:rFonts w:asciiTheme="minorHAnsi" w:hAnsiTheme="minorHAnsi"/>
          <w:b/>
          <w:bCs/>
          <w:i/>
          <w:sz w:val="28"/>
          <w:szCs w:val="28"/>
        </w:rPr>
        <w:t>Fulfilling our Potential: Teaching Excellence, Social Mobility and Student Choice</w:t>
      </w:r>
      <w:r w:rsidRPr="00666268">
        <w:rPr>
          <w:rFonts w:asciiTheme="minorHAnsi" w:hAnsiTheme="minorHAnsi"/>
          <w:b/>
          <w:sz w:val="28"/>
          <w:szCs w:val="28"/>
        </w:rPr>
        <w:t xml:space="preserve"> </w:t>
      </w:r>
    </w:p>
    <w:bookmarkEnd w:id="0"/>
    <w:p w14:paraId="50D1D53A" w14:textId="77777777" w:rsidR="007D5D5C" w:rsidRDefault="007D5D5C" w:rsidP="007D5D5C">
      <w:pPr>
        <w:pStyle w:val="NormalWeb"/>
        <w:rPr>
          <w:rFonts w:asciiTheme="minorHAnsi" w:hAnsiTheme="minorHAnsi"/>
          <w:b/>
          <w:sz w:val="28"/>
          <w:szCs w:val="28"/>
        </w:rPr>
      </w:pPr>
      <w:r>
        <w:rPr>
          <w:rFonts w:asciiTheme="minorHAnsi" w:hAnsiTheme="minorHAnsi"/>
          <w:b/>
          <w:sz w:val="28"/>
          <w:szCs w:val="28"/>
        </w:rPr>
        <w:t xml:space="preserve">                                   Response to Consultation</w:t>
      </w:r>
    </w:p>
    <w:p w14:paraId="1CEDEA7D" w14:textId="77777777" w:rsidR="007D5D5C" w:rsidRDefault="007D5D5C" w:rsidP="007D5D5C">
      <w:pPr>
        <w:pStyle w:val="NormalWeb"/>
        <w:rPr>
          <w:rFonts w:asciiTheme="minorHAnsi" w:hAnsiTheme="minorHAnsi"/>
          <w:b/>
          <w:sz w:val="28"/>
          <w:szCs w:val="28"/>
        </w:rPr>
      </w:pPr>
      <w:r>
        <w:rPr>
          <w:rFonts w:asciiTheme="minorHAnsi" w:hAnsiTheme="minorHAnsi"/>
          <w:b/>
          <w:sz w:val="28"/>
          <w:szCs w:val="28"/>
        </w:rPr>
        <w:t xml:space="preserve">                                              on behalf of the</w:t>
      </w:r>
    </w:p>
    <w:p w14:paraId="6E497DC5" w14:textId="77777777" w:rsidR="007D5D5C" w:rsidRDefault="007D5D5C" w:rsidP="007D5D5C">
      <w:pPr>
        <w:pStyle w:val="NormalWeb"/>
        <w:rPr>
          <w:rFonts w:asciiTheme="minorHAnsi" w:hAnsiTheme="minorHAnsi"/>
          <w:b/>
          <w:sz w:val="28"/>
          <w:szCs w:val="28"/>
        </w:rPr>
      </w:pPr>
      <w:r>
        <w:rPr>
          <w:rFonts w:asciiTheme="minorHAnsi" w:hAnsiTheme="minorHAnsi"/>
          <w:b/>
          <w:sz w:val="28"/>
          <w:szCs w:val="28"/>
        </w:rPr>
        <w:t xml:space="preserve"> Improving Dispute Resolution Advisory Service (</w:t>
      </w:r>
      <w:hyperlink r:id="rId8" w:history="1">
        <w:r w:rsidRPr="00605F1E">
          <w:rPr>
            <w:rStyle w:val="Hyperlink"/>
            <w:rFonts w:asciiTheme="minorHAnsi" w:hAnsiTheme="minorHAnsi"/>
            <w:b/>
            <w:sz w:val="28"/>
            <w:szCs w:val="28"/>
          </w:rPr>
          <w:t>www.idras.ac.uk</w:t>
        </w:r>
      </w:hyperlink>
      <w:r>
        <w:rPr>
          <w:rFonts w:asciiTheme="minorHAnsi" w:hAnsiTheme="minorHAnsi"/>
          <w:b/>
          <w:sz w:val="28"/>
          <w:szCs w:val="28"/>
        </w:rPr>
        <w:t xml:space="preserve">) </w:t>
      </w:r>
    </w:p>
    <w:p w14:paraId="146AEFE5" w14:textId="77777777" w:rsidR="007D5D5C" w:rsidRDefault="007D5D5C" w:rsidP="007D5D5C">
      <w:pPr>
        <w:pStyle w:val="NormalWeb"/>
        <w:rPr>
          <w:rFonts w:asciiTheme="minorHAnsi" w:hAnsiTheme="minorHAnsi"/>
          <w:i/>
          <w:sz w:val="24"/>
          <w:szCs w:val="24"/>
        </w:rPr>
      </w:pPr>
      <w:r w:rsidRPr="006C5EE5">
        <w:rPr>
          <w:rFonts w:asciiTheme="minorHAnsi" w:hAnsiTheme="minorHAnsi"/>
          <w:i/>
          <w:sz w:val="24"/>
          <w:szCs w:val="24"/>
        </w:rPr>
        <w:t>a not-for-profit service built on the work of Improving Dispute Resolution, a project funded by HEFCE under its Leadership Governance and Management scheme</w:t>
      </w:r>
    </w:p>
    <w:p w14:paraId="546BE90B" w14:textId="786A5F5A" w:rsidR="006C5EE5" w:rsidRDefault="006C5EE5" w:rsidP="007D5D5C">
      <w:pPr>
        <w:pStyle w:val="NormalWeb"/>
        <w:rPr>
          <w:rFonts w:asciiTheme="minorHAnsi" w:hAnsiTheme="minorHAnsi"/>
          <w:i/>
          <w:sz w:val="24"/>
          <w:szCs w:val="24"/>
        </w:rPr>
      </w:pPr>
      <w:r>
        <w:rPr>
          <w:rFonts w:asciiTheme="minorHAnsi" w:hAnsiTheme="minorHAnsi"/>
          <w:i/>
          <w:sz w:val="24"/>
          <w:szCs w:val="24"/>
        </w:rPr>
        <w:t xml:space="preserve">Submitted on behalf of the Board by Professor G.R.Evans, CEO,  </w:t>
      </w:r>
      <w:hyperlink r:id="rId9" w:history="1">
        <w:r w:rsidRPr="00E13EDC">
          <w:rPr>
            <w:rStyle w:val="Hyperlink"/>
            <w:rFonts w:asciiTheme="minorHAnsi" w:hAnsiTheme="minorHAnsi"/>
            <w:i/>
            <w:sz w:val="24"/>
            <w:szCs w:val="24"/>
          </w:rPr>
          <w:t>gre1001@cam.ac.uk</w:t>
        </w:r>
      </w:hyperlink>
    </w:p>
    <w:p w14:paraId="4AD8347F" w14:textId="77777777" w:rsidR="006C5EE5" w:rsidRPr="006C5EE5" w:rsidRDefault="006C5EE5" w:rsidP="007D5D5C">
      <w:pPr>
        <w:pStyle w:val="NormalWeb"/>
        <w:rPr>
          <w:rFonts w:asciiTheme="minorHAnsi" w:hAnsiTheme="minorHAnsi"/>
          <w:i/>
          <w:sz w:val="24"/>
          <w:szCs w:val="24"/>
        </w:rPr>
      </w:pPr>
      <w:bookmarkStart w:id="1" w:name="_GoBack"/>
      <w:bookmarkEnd w:id="1"/>
    </w:p>
    <w:p w14:paraId="4C3CEEB4" w14:textId="77777777" w:rsidR="00433878" w:rsidRPr="00433878" w:rsidRDefault="00433878" w:rsidP="00433878">
      <w:pPr>
        <w:widowControl w:val="0"/>
        <w:autoSpaceDE w:val="0"/>
        <w:autoSpaceDN w:val="0"/>
        <w:adjustRightInd w:val="0"/>
        <w:spacing w:after="0"/>
        <w:jc w:val="both"/>
        <w:rPr>
          <w:rFonts w:cs="Times"/>
          <w:b/>
          <w:color w:val="131313"/>
          <w:szCs w:val="24"/>
        </w:rPr>
      </w:pPr>
      <w:r w:rsidRPr="00433878">
        <w:rPr>
          <w:rFonts w:cs="Times"/>
          <w:b/>
          <w:color w:val="131313"/>
          <w:szCs w:val="24"/>
        </w:rPr>
        <w:t>Key points</w:t>
      </w:r>
    </w:p>
    <w:p w14:paraId="4D6EB6F5" w14:textId="77777777" w:rsidR="00433878" w:rsidRDefault="00433878" w:rsidP="00433878">
      <w:pPr>
        <w:widowControl w:val="0"/>
        <w:autoSpaceDE w:val="0"/>
        <w:autoSpaceDN w:val="0"/>
        <w:adjustRightInd w:val="0"/>
        <w:spacing w:after="0"/>
        <w:jc w:val="both"/>
        <w:rPr>
          <w:rFonts w:cs="Times"/>
          <w:color w:val="131313"/>
          <w:szCs w:val="24"/>
        </w:rPr>
      </w:pPr>
    </w:p>
    <w:p w14:paraId="67FBCBBF" w14:textId="589E56A4" w:rsidR="00433878" w:rsidRPr="00641B19" w:rsidRDefault="00433878" w:rsidP="00433878">
      <w:pPr>
        <w:widowControl w:val="0"/>
        <w:autoSpaceDE w:val="0"/>
        <w:autoSpaceDN w:val="0"/>
        <w:adjustRightInd w:val="0"/>
        <w:spacing w:after="0" w:line="360" w:lineRule="auto"/>
        <w:jc w:val="both"/>
        <w:rPr>
          <w:rFonts w:cs="Calibri"/>
          <w:color w:val="453CCC"/>
          <w:szCs w:val="24"/>
        </w:rPr>
      </w:pPr>
      <w:r w:rsidRPr="00641B19">
        <w:rPr>
          <w:rFonts w:cs="Times"/>
          <w:color w:val="131313"/>
          <w:szCs w:val="24"/>
        </w:rPr>
        <w:t>IDRAS is experienced in supporting HE providers and providers of HE in further education in developing their systems for responding to student complaints and dealing with disputes. We also have extensive experience in case-work involving students and employees throughout the UK.</w:t>
      </w:r>
    </w:p>
    <w:p w14:paraId="41C44EA1" w14:textId="77777777" w:rsidR="00433878" w:rsidRPr="00641B19" w:rsidRDefault="00433878" w:rsidP="00433878">
      <w:pPr>
        <w:widowControl w:val="0"/>
        <w:autoSpaceDE w:val="0"/>
        <w:autoSpaceDN w:val="0"/>
        <w:adjustRightInd w:val="0"/>
        <w:spacing w:after="0" w:line="360" w:lineRule="auto"/>
        <w:jc w:val="both"/>
        <w:rPr>
          <w:rFonts w:cs="Calibri"/>
          <w:color w:val="453CCC"/>
          <w:szCs w:val="24"/>
        </w:rPr>
      </w:pPr>
      <w:r w:rsidRPr="00641B19">
        <w:rPr>
          <w:rFonts w:cs="Times"/>
          <w:color w:val="131313"/>
          <w:szCs w:val="24"/>
        </w:rPr>
        <w:t> </w:t>
      </w:r>
    </w:p>
    <w:p w14:paraId="207D9DDC" w14:textId="04F56697" w:rsidR="00433878" w:rsidRDefault="00433878" w:rsidP="00433878">
      <w:pPr>
        <w:widowControl w:val="0"/>
        <w:autoSpaceDE w:val="0"/>
        <w:autoSpaceDN w:val="0"/>
        <w:adjustRightInd w:val="0"/>
        <w:spacing w:after="0" w:line="360" w:lineRule="auto"/>
        <w:jc w:val="both"/>
        <w:rPr>
          <w:rFonts w:cs="Times"/>
          <w:bCs/>
          <w:color w:val="131313"/>
          <w:szCs w:val="24"/>
        </w:rPr>
      </w:pPr>
      <w:r w:rsidRPr="00641B19">
        <w:rPr>
          <w:rFonts w:cs="Times"/>
          <w:color w:val="131313"/>
          <w:szCs w:val="24"/>
        </w:rPr>
        <w:t>Some features of the Green Paper proposals are likely to lead to fresh problems for providers, their staff and students</w:t>
      </w:r>
      <w:r w:rsidR="00F071FF">
        <w:rPr>
          <w:rFonts w:cs="Times"/>
          <w:color w:val="131313"/>
          <w:szCs w:val="24"/>
        </w:rPr>
        <w:t>,</w:t>
      </w:r>
      <w:r w:rsidRPr="00641B19">
        <w:rPr>
          <w:rFonts w:cs="Times"/>
          <w:color w:val="131313"/>
          <w:szCs w:val="24"/>
        </w:rPr>
        <w:t xml:space="preserve"> </w:t>
      </w:r>
      <w:r w:rsidRPr="00641B19">
        <w:rPr>
          <w:rFonts w:cs="Times"/>
          <w:bCs/>
          <w:color w:val="131313"/>
          <w:szCs w:val="24"/>
        </w:rPr>
        <w:t>in resolving disputes.</w:t>
      </w:r>
      <w:r>
        <w:rPr>
          <w:rFonts w:cs="Times"/>
          <w:bCs/>
          <w:color w:val="131313"/>
          <w:szCs w:val="24"/>
        </w:rPr>
        <w:t xml:space="preserve">  </w:t>
      </w:r>
    </w:p>
    <w:p w14:paraId="2883F1DA" w14:textId="77777777" w:rsidR="00433878" w:rsidRPr="00433878" w:rsidRDefault="00433878" w:rsidP="00433878">
      <w:pPr>
        <w:widowControl w:val="0"/>
        <w:autoSpaceDE w:val="0"/>
        <w:autoSpaceDN w:val="0"/>
        <w:adjustRightInd w:val="0"/>
        <w:spacing w:after="0" w:line="360" w:lineRule="auto"/>
        <w:jc w:val="both"/>
        <w:rPr>
          <w:rFonts w:cs="Times"/>
          <w:b/>
          <w:bCs/>
          <w:color w:val="131313"/>
          <w:szCs w:val="24"/>
        </w:rPr>
      </w:pPr>
    </w:p>
    <w:p w14:paraId="23095413" w14:textId="2B36E712" w:rsidR="00433878" w:rsidRPr="00433878" w:rsidRDefault="00433878" w:rsidP="00433878">
      <w:pPr>
        <w:widowControl w:val="0"/>
        <w:autoSpaceDE w:val="0"/>
        <w:autoSpaceDN w:val="0"/>
        <w:adjustRightInd w:val="0"/>
        <w:spacing w:after="0" w:line="360" w:lineRule="auto"/>
        <w:jc w:val="both"/>
        <w:rPr>
          <w:rFonts w:cs="Times"/>
          <w:b/>
          <w:bCs/>
          <w:color w:val="131313"/>
          <w:szCs w:val="24"/>
        </w:rPr>
      </w:pPr>
      <w:r w:rsidRPr="00433878">
        <w:rPr>
          <w:rFonts w:cs="Times"/>
          <w:b/>
          <w:bCs/>
          <w:color w:val="131313"/>
          <w:szCs w:val="24"/>
        </w:rPr>
        <w:t xml:space="preserve">The Consultation Questions include nothing on this </w:t>
      </w:r>
      <w:r w:rsidR="008B023E">
        <w:rPr>
          <w:rFonts w:cs="Times"/>
          <w:b/>
          <w:bCs/>
          <w:color w:val="131313"/>
          <w:szCs w:val="24"/>
        </w:rPr>
        <w:t>aspect of the proposals,  though its</w:t>
      </w:r>
      <w:r w:rsidRPr="00433878">
        <w:rPr>
          <w:rFonts w:cs="Times"/>
          <w:b/>
          <w:bCs/>
          <w:color w:val="131313"/>
          <w:szCs w:val="24"/>
        </w:rPr>
        <w:t xml:space="preserve"> importance </w:t>
      </w:r>
      <w:r w:rsidR="008B023E">
        <w:rPr>
          <w:rFonts w:cs="Times"/>
          <w:b/>
          <w:bCs/>
          <w:color w:val="131313"/>
          <w:szCs w:val="24"/>
        </w:rPr>
        <w:t>is stressed</w:t>
      </w:r>
      <w:r w:rsidRPr="00433878">
        <w:rPr>
          <w:rFonts w:cs="Times"/>
          <w:b/>
          <w:bCs/>
          <w:color w:val="131313"/>
          <w:szCs w:val="24"/>
        </w:rPr>
        <w:t xml:space="preserve"> by the CMA.</w:t>
      </w:r>
    </w:p>
    <w:p w14:paraId="2B6DA5A1" w14:textId="77777777" w:rsidR="00433878" w:rsidRPr="00641B19" w:rsidRDefault="00433878" w:rsidP="00433878">
      <w:pPr>
        <w:widowControl w:val="0"/>
        <w:autoSpaceDE w:val="0"/>
        <w:autoSpaceDN w:val="0"/>
        <w:adjustRightInd w:val="0"/>
        <w:spacing w:after="0"/>
        <w:jc w:val="both"/>
        <w:rPr>
          <w:rFonts w:cs="Calibri"/>
          <w:color w:val="453CCC"/>
          <w:szCs w:val="24"/>
        </w:rPr>
      </w:pPr>
    </w:p>
    <w:p w14:paraId="37EB31B9" w14:textId="445C3582" w:rsidR="00433878" w:rsidRPr="00433878" w:rsidRDefault="00433878" w:rsidP="00433878">
      <w:pPr>
        <w:pStyle w:val="ListParagraph"/>
        <w:widowControl w:val="0"/>
        <w:numPr>
          <w:ilvl w:val="0"/>
          <w:numId w:val="7"/>
        </w:numPr>
        <w:autoSpaceDE w:val="0"/>
        <w:autoSpaceDN w:val="0"/>
        <w:adjustRightInd w:val="0"/>
        <w:spacing w:after="0" w:line="360" w:lineRule="auto"/>
        <w:jc w:val="both"/>
        <w:rPr>
          <w:rFonts w:cs="Calibri"/>
          <w:color w:val="453CCC"/>
          <w:szCs w:val="24"/>
        </w:rPr>
      </w:pPr>
      <w:r w:rsidRPr="00433878">
        <w:rPr>
          <w:rFonts w:cs="Times"/>
          <w:bCs/>
          <w:color w:val="131313"/>
          <w:szCs w:val="24"/>
        </w:rPr>
        <w:t>Dispute-resolution costs are not considered in the Green Paper. </w:t>
      </w:r>
      <w:r w:rsidRPr="00433878">
        <w:rPr>
          <w:rFonts w:cs="Times New Roman"/>
          <w:bCs/>
          <w:color w:val="131313"/>
          <w:szCs w:val="24"/>
        </w:rPr>
        <w:t> </w:t>
      </w:r>
      <w:r w:rsidRPr="00433878">
        <w:rPr>
          <w:rFonts w:cs="Times"/>
          <w:bCs/>
          <w:color w:val="131313"/>
          <w:szCs w:val="24"/>
        </w:rPr>
        <w:t xml:space="preserve">Student complaints based on the view that the student is primarily a consumer and has a contract with the provider may to lead to litigation instead of or as well as recourse to the OIA, with  significantly increased costs to HE providers. The Competition and Markets Authority is monitoring compliance with its March 2015 guidance and the potential risks and costs of non-compliance are </w:t>
      </w:r>
      <w:r w:rsidRPr="00433878">
        <w:rPr>
          <w:rFonts w:cs="Times"/>
          <w:bCs/>
          <w:color w:val="131313"/>
          <w:szCs w:val="24"/>
        </w:rPr>
        <w:lastRenderedPageBreak/>
        <w:t>not yet clear. Student litigation against providers found non-compliant is a further possibility.</w:t>
      </w:r>
    </w:p>
    <w:p w14:paraId="5B39FDA5" w14:textId="77777777" w:rsidR="00433878" w:rsidRPr="00433878" w:rsidRDefault="00433878" w:rsidP="00433878">
      <w:pPr>
        <w:pStyle w:val="ListParagraph"/>
        <w:widowControl w:val="0"/>
        <w:autoSpaceDE w:val="0"/>
        <w:autoSpaceDN w:val="0"/>
        <w:adjustRightInd w:val="0"/>
        <w:spacing w:after="0" w:line="360" w:lineRule="auto"/>
        <w:jc w:val="both"/>
        <w:rPr>
          <w:rFonts w:cs="Calibri"/>
          <w:color w:val="453CCC"/>
          <w:szCs w:val="24"/>
        </w:rPr>
      </w:pPr>
    </w:p>
    <w:p w14:paraId="54DF515C" w14:textId="183C4544" w:rsidR="00433878" w:rsidRPr="00433878" w:rsidRDefault="00433878" w:rsidP="00433878">
      <w:pPr>
        <w:pStyle w:val="ListParagraph"/>
        <w:widowControl w:val="0"/>
        <w:numPr>
          <w:ilvl w:val="0"/>
          <w:numId w:val="7"/>
        </w:numPr>
        <w:autoSpaceDE w:val="0"/>
        <w:autoSpaceDN w:val="0"/>
        <w:adjustRightInd w:val="0"/>
        <w:spacing w:after="0" w:line="360" w:lineRule="auto"/>
        <w:jc w:val="both"/>
        <w:rPr>
          <w:rFonts w:cs="Calibri"/>
          <w:color w:val="453CCC"/>
          <w:szCs w:val="24"/>
        </w:rPr>
      </w:pPr>
      <w:r w:rsidRPr="00433878">
        <w:rPr>
          <w:rFonts w:cs="Times"/>
          <w:color w:val="131313"/>
          <w:szCs w:val="24"/>
        </w:rPr>
        <w:t>As part of developing a ‘level playing field’, alternative providers will need support in developing student complaints procedures to the standard now expected in the ‘public’ HE sector and entering the system ready to work with the OIA. Otherwise there may be a sea change in the proportion of student complaints upheld by the OIA, and/or a rapid increase in litigation against alternative providers, both involving significant additional cost for providers.</w:t>
      </w:r>
    </w:p>
    <w:p w14:paraId="38478292" w14:textId="77777777" w:rsidR="00433878" w:rsidRPr="00433878" w:rsidRDefault="00433878" w:rsidP="00433878">
      <w:pPr>
        <w:pStyle w:val="ListParagraph"/>
        <w:widowControl w:val="0"/>
        <w:autoSpaceDE w:val="0"/>
        <w:autoSpaceDN w:val="0"/>
        <w:adjustRightInd w:val="0"/>
        <w:spacing w:after="0" w:line="360" w:lineRule="auto"/>
        <w:jc w:val="both"/>
        <w:rPr>
          <w:rFonts w:cs="Calibri"/>
          <w:color w:val="453CCC"/>
          <w:szCs w:val="24"/>
        </w:rPr>
      </w:pPr>
    </w:p>
    <w:p w14:paraId="16411762" w14:textId="2A55CA88" w:rsidR="00433878" w:rsidRPr="00433878" w:rsidRDefault="00433878" w:rsidP="00433878">
      <w:pPr>
        <w:pStyle w:val="ListParagraph"/>
        <w:widowControl w:val="0"/>
        <w:numPr>
          <w:ilvl w:val="0"/>
          <w:numId w:val="7"/>
        </w:numPr>
        <w:autoSpaceDE w:val="0"/>
        <w:autoSpaceDN w:val="0"/>
        <w:adjustRightInd w:val="0"/>
        <w:spacing w:after="0" w:line="360" w:lineRule="auto"/>
        <w:jc w:val="both"/>
        <w:rPr>
          <w:rFonts w:cs="Calibri"/>
          <w:color w:val="453CCC"/>
          <w:szCs w:val="24"/>
        </w:rPr>
      </w:pPr>
      <w:r w:rsidRPr="00433878">
        <w:rPr>
          <w:rFonts w:cs="Times"/>
          <w:color w:val="131313"/>
          <w:szCs w:val="24"/>
        </w:rPr>
        <w:t>Alternative providers will also need to equip themselves to deal with ‘fitness to study’ problems as ‘public‘ HE providers are now doing. The alternative is increased costs in litigation from failed or excluded students and would-be students.</w:t>
      </w:r>
    </w:p>
    <w:p w14:paraId="4AD2F292" w14:textId="77777777" w:rsidR="00433878" w:rsidRPr="00433878" w:rsidRDefault="00433878" w:rsidP="00433878">
      <w:pPr>
        <w:pStyle w:val="ListParagraph"/>
        <w:widowControl w:val="0"/>
        <w:autoSpaceDE w:val="0"/>
        <w:autoSpaceDN w:val="0"/>
        <w:adjustRightInd w:val="0"/>
        <w:spacing w:after="0" w:line="360" w:lineRule="auto"/>
        <w:jc w:val="both"/>
        <w:rPr>
          <w:rFonts w:cs="Calibri"/>
          <w:color w:val="453CCC"/>
          <w:szCs w:val="24"/>
        </w:rPr>
      </w:pPr>
    </w:p>
    <w:p w14:paraId="5A2ABFB9" w14:textId="7CE72713" w:rsidR="00433878" w:rsidRPr="00433878" w:rsidRDefault="00433878" w:rsidP="00433878">
      <w:pPr>
        <w:pStyle w:val="ListParagraph"/>
        <w:widowControl w:val="0"/>
        <w:numPr>
          <w:ilvl w:val="0"/>
          <w:numId w:val="7"/>
        </w:numPr>
        <w:autoSpaceDE w:val="0"/>
        <w:autoSpaceDN w:val="0"/>
        <w:adjustRightInd w:val="0"/>
        <w:spacing w:after="0" w:line="360" w:lineRule="auto"/>
        <w:jc w:val="both"/>
        <w:rPr>
          <w:rFonts w:cs="Calibri"/>
          <w:color w:val="453CCC"/>
          <w:szCs w:val="24"/>
        </w:rPr>
      </w:pPr>
      <w:r w:rsidRPr="00433878">
        <w:rPr>
          <w:rFonts w:cs="Times New Roman"/>
          <w:color w:val="131313"/>
          <w:szCs w:val="24"/>
        </w:rPr>
        <w:t> </w:t>
      </w:r>
      <w:r w:rsidRPr="00433878">
        <w:rPr>
          <w:rFonts w:cs="Times"/>
          <w:color w:val="131313"/>
          <w:szCs w:val="24"/>
        </w:rPr>
        <w:t xml:space="preserve">Student complaints that poor teaching has resulted in disappointing results or failure are already </w:t>
      </w:r>
      <w:r w:rsidRPr="00433878">
        <w:rPr>
          <w:rFonts w:cs="Times"/>
          <w:bCs/>
          <w:color w:val="131313"/>
          <w:szCs w:val="24"/>
        </w:rPr>
        <w:t>occuring</w:t>
      </w:r>
      <w:r w:rsidRPr="00433878">
        <w:rPr>
          <w:rFonts w:cs="Times"/>
          <w:color w:val="131313"/>
          <w:szCs w:val="24"/>
        </w:rPr>
        <w:t xml:space="preserve"> under existing arrangements. Such complaints are likely to multiply, but this is likely to </w:t>
      </w:r>
      <w:r w:rsidRPr="00433878">
        <w:rPr>
          <w:rFonts w:cs="Times"/>
          <w:bCs/>
          <w:color w:val="131313"/>
          <w:szCs w:val="24"/>
        </w:rPr>
        <w:t>encourage institutions to amend their procedures to exclude this category</w:t>
      </w:r>
      <w:r w:rsidRPr="00433878">
        <w:rPr>
          <w:rFonts w:cs="Times"/>
          <w:color w:val="131313"/>
          <w:szCs w:val="24"/>
        </w:rPr>
        <w:t xml:space="preserve">, reducing the risk of litigation rather than improving teaching quality. Quality improvement flows from good dispute resolution systems within the institution, </w:t>
      </w:r>
      <w:r w:rsidRPr="00433878">
        <w:rPr>
          <w:rFonts w:cs="Times"/>
          <w:bCs/>
          <w:color w:val="131313"/>
          <w:szCs w:val="24"/>
        </w:rPr>
        <w:t>overseen</w:t>
      </w:r>
      <w:r w:rsidRPr="00433878">
        <w:rPr>
          <w:rFonts w:cs="Times"/>
          <w:color w:val="131313"/>
          <w:szCs w:val="24"/>
        </w:rPr>
        <w:t xml:space="preserve"> by the OIA </w:t>
      </w:r>
      <w:r w:rsidRPr="00433878">
        <w:rPr>
          <w:rFonts w:cs="Times"/>
          <w:bCs/>
          <w:color w:val="131313"/>
          <w:szCs w:val="24"/>
        </w:rPr>
        <w:t>as it now does through its Annual Letters and encouragement of good practice.</w:t>
      </w:r>
    </w:p>
    <w:p w14:paraId="2C822B18" w14:textId="77777777" w:rsidR="00433878" w:rsidRPr="00433878" w:rsidRDefault="00433878" w:rsidP="00433878">
      <w:pPr>
        <w:pStyle w:val="ListParagraph"/>
        <w:widowControl w:val="0"/>
        <w:autoSpaceDE w:val="0"/>
        <w:autoSpaceDN w:val="0"/>
        <w:adjustRightInd w:val="0"/>
        <w:spacing w:after="0" w:line="360" w:lineRule="auto"/>
        <w:jc w:val="both"/>
        <w:rPr>
          <w:rFonts w:cs="Calibri"/>
          <w:color w:val="453CCC"/>
          <w:szCs w:val="24"/>
        </w:rPr>
      </w:pPr>
    </w:p>
    <w:p w14:paraId="350A1418" w14:textId="19098C09" w:rsidR="00433878" w:rsidRPr="00433878" w:rsidRDefault="00433878" w:rsidP="00433878">
      <w:pPr>
        <w:pStyle w:val="ListParagraph"/>
        <w:widowControl w:val="0"/>
        <w:numPr>
          <w:ilvl w:val="0"/>
          <w:numId w:val="7"/>
        </w:numPr>
        <w:autoSpaceDE w:val="0"/>
        <w:autoSpaceDN w:val="0"/>
        <w:adjustRightInd w:val="0"/>
        <w:spacing w:after="0" w:line="360" w:lineRule="auto"/>
        <w:jc w:val="both"/>
        <w:rPr>
          <w:rFonts w:cs="Calibri"/>
          <w:color w:val="453CCC"/>
          <w:szCs w:val="24"/>
        </w:rPr>
      </w:pPr>
      <w:r w:rsidRPr="00433878">
        <w:rPr>
          <w:rFonts w:cs="Times"/>
          <w:color w:val="131313"/>
          <w:szCs w:val="24"/>
        </w:rPr>
        <w:t xml:space="preserve">Student complaints about teaching quality may result from the casualisation of the teaching force already apparent in the ‘public’ HE sector and noticeable in the way job advertisements for teaching staff are framed by some alternative providers. Reflecting the US experience in parts of the for-profit HE sector, there is a consequent failure to ensure that alternative providers </w:t>
      </w:r>
      <w:r w:rsidRPr="00433878">
        <w:rPr>
          <w:rFonts w:cs="Times"/>
          <w:color w:val="131313"/>
          <w:szCs w:val="24"/>
        </w:rPr>
        <w:lastRenderedPageBreak/>
        <w:t xml:space="preserve">have the self-critical academic community expected in the ‘public’ universities </w:t>
      </w:r>
      <w:r w:rsidRPr="00433878">
        <w:rPr>
          <w:rFonts w:cs="Times"/>
          <w:bCs/>
          <w:color w:val="131313"/>
          <w:szCs w:val="24"/>
        </w:rPr>
        <w:t>and required before the grant of degree-awarding powers to a new provider.</w:t>
      </w:r>
    </w:p>
    <w:p w14:paraId="5EB1A82C" w14:textId="77777777" w:rsidR="00433878" w:rsidRPr="00641B19" w:rsidRDefault="00433878" w:rsidP="00433878">
      <w:pPr>
        <w:widowControl w:val="0"/>
        <w:autoSpaceDE w:val="0"/>
        <w:autoSpaceDN w:val="0"/>
        <w:adjustRightInd w:val="0"/>
        <w:spacing w:after="0" w:line="360" w:lineRule="auto"/>
        <w:jc w:val="both"/>
        <w:rPr>
          <w:rFonts w:cs="Calibri"/>
          <w:color w:val="453CCC"/>
          <w:szCs w:val="24"/>
        </w:rPr>
      </w:pPr>
    </w:p>
    <w:p w14:paraId="608D7673" w14:textId="2FCC8033" w:rsidR="00433878" w:rsidRPr="00433878" w:rsidRDefault="00433878" w:rsidP="00433878">
      <w:pPr>
        <w:pStyle w:val="ListParagraph"/>
        <w:widowControl w:val="0"/>
        <w:numPr>
          <w:ilvl w:val="0"/>
          <w:numId w:val="7"/>
        </w:numPr>
        <w:autoSpaceDE w:val="0"/>
        <w:autoSpaceDN w:val="0"/>
        <w:adjustRightInd w:val="0"/>
        <w:spacing w:after="0" w:line="360" w:lineRule="auto"/>
        <w:jc w:val="both"/>
        <w:rPr>
          <w:rFonts w:cs="Calibri"/>
          <w:color w:val="453CCC"/>
          <w:szCs w:val="24"/>
        </w:rPr>
      </w:pPr>
      <w:r w:rsidRPr="00433878">
        <w:rPr>
          <w:rFonts w:cs="Times"/>
          <w:color w:val="131313"/>
          <w:szCs w:val="24"/>
        </w:rPr>
        <w:t>Graduate students on taught courses may complain that they are not being put ‘at the heart of the system’, because the Green Paper proposals focus almost exclusively on undergraduate teaching.</w:t>
      </w:r>
    </w:p>
    <w:p w14:paraId="535EEB8F" w14:textId="77777777" w:rsidR="00433878" w:rsidRPr="00433878" w:rsidRDefault="00433878" w:rsidP="00433878">
      <w:pPr>
        <w:widowControl w:val="0"/>
        <w:autoSpaceDE w:val="0"/>
        <w:autoSpaceDN w:val="0"/>
        <w:adjustRightInd w:val="0"/>
        <w:spacing w:after="0" w:line="360" w:lineRule="auto"/>
        <w:jc w:val="both"/>
        <w:rPr>
          <w:rFonts w:cs="Calibri"/>
          <w:color w:val="453CCC"/>
          <w:szCs w:val="24"/>
        </w:rPr>
      </w:pPr>
    </w:p>
    <w:p w14:paraId="2E060B25" w14:textId="123CA428" w:rsidR="00433878" w:rsidRPr="00433878" w:rsidRDefault="00433878" w:rsidP="00433878">
      <w:pPr>
        <w:pStyle w:val="ListParagraph"/>
        <w:widowControl w:val="0"/>
        <w:numPr>
          <w:ilvl w:val="0"/>
          <w:numId w:val="7"/>
        </w:numPr>
        <w:autoSpaceDE w:val="0"/>
        <w:autoSpaceDN w:val="0"/>
        <w:adjustRightInd w:val="0"/>
        <w:spacing w:after="0" w:line="360" w:lineRule="auto"/>
        <w:jc w:val="both"/>
        <w:rPr>
          <w:rFonts w:cs="Calibri"/>
          <w:color w:val="453CCC"/>
          <w:szCs w:val="24"/>
        </w:rPr>
      </w:pPr>
      <w:r w:rsidRPr="00433878">
        <w:rPr>
          <w:rFonts w:cs="Times"/>
          <w:color w:val="131313"/>
          <w:szCs w:val="24"/>
        </w:rPr>
        <w:t xml:space="preserve">The potential closure of 'failing' institutions will also create a whole new area for student litigants. </w:t>
      </w:r>
      <w:r w:rsidRPr="00433878">
        <w:rPr>
          <w:rFonts w:cs="Times"/>
          <w:bCs/>
          <w:color w:val="131313"/>
          <w:szCs w:val="24"/>
        </w:rPr>
        <w:t>The Green Paper’s broad-brush sketch of the need to be met is not well-focussed. </w:t>
      </w:r>
      <w:r w:rsidRPr="00433878">
        <w:rPr>
          <w:rFonts w:cs="Times"/>
          <w:color w:val="131313"/>
          <w:szCs w:val="24"/>
        </w:rPr>
        <w:t>The US experience of such high-profile failures as Corinthian shows that there is a risk of significant costs for Government in reimbursing or compensating for student loans and debts.</w:t>
      </w:r>
    </w:p>
    <w:p w14:paraId="5BB8DE0C" w14:textId="4742C7E7" w:rsidR="00433878" w:rsidRPr="00D83898" w:rsidRDefault="00433878" w:rsidP="00433878">
      <w:pPr>
        <w:pStyle w:val="NormalWeb"/>
        <w:spacing w:line="360" w:lineRule="auto"/>
        <w:rPr>
          <w:rFonts w:asciiTheme="minorHAnsi" w:hAnsiTheme="minorHAnsi"/>
          <w:sz w:val="28"/>
          <w:szCs w:val="28"/>
        </w:rPr>
      </w:pPr>
    </w:p>
    <w:p w14:paraId="6581EB72" w14:textId="77777777" w:rsidR="007D5D5C" w:rsidRPr="00666268" w:rsidRDefault="007D5D5C" w:rsidP="007D5D5C">
      <w:pPr>
        <w:pStyle w:val="NormalWeb"/>
        <w:rPr>
          <w:rFonts w:asciiTheme="minorHAnsi" w:hAnsiTheme="minorHAnsi"/>
          <w:b/>
          <w:sz w:val="28"/>
          <w:szCs w:val="28"/>
        </w:rPr>
      </w:pPr>
    </w:p>
    <w:p w14:paraId="44326AA7" w14:textId="77777777" w:rsidR="007D5D5C" w:rsidRDefault="007D5D5C" w:rsidP="007D5D5C">
      <w:pPr>
        <w:pStyle w:val="NormalWeb"/>
        <w:rPr>
          <w:rFonts w:asciiTheme="minorHAnsi" w:hAnsiTheme="minorHAnsi" w:cs="Arial"/>
          <w:b/>
          <w:sz w:val="24"/>
          <w:szCs w:val="24"/>
        </w:rPr>
      </w:pPr>
      <w:r w:rsidRPr="00746AF1">
        <w:rPr>
          <w:rFonts w:asciiTheme="minorHAnsi" w:hAnsiTheme="minorHAnsi" w:cs="Arial"/>
          <w:b/>
          <w:sz w:val="24"/>
          <w:szCs w:val="24"/>
        </w:rPr>
        <w:t>Contents</w:t>
      </w:r>
    </w:p>
    <w:p w14:paraId="5D325445" w14:textId="320B6EC4" w:rsidR="007D5D5C" w:rsidRDefault="007D5D5C" w:rsidP="007D5D5C">
      <w:pPr>
        <w:spacing w:line="360" w:lineRule="auto"/>
        <w:jc w:val="both"/>
        <w:rPr>
          <w:b/>
          <w:szCs w:val="24"/>
        </w:rPr>
      </w:pPr>
      <w:r>
        <w:rPr>
          <w:b/>
          <w:szCs w:val="24"/>
        </w:rPr>
        <w:t xml:space="preserve">I </w:t>
      </w:r>
      <w:r w:rsidR="00126C1C">
        <w:rPr>
          <w:b/>
          <w:szCs w:val="24"/>
        </w:rPr>
        <w:t xml:space="preserve"> </w:t>
      </w:r>
      <w:r>
        <w:rPr>
          <w:b/>
          <w:szCs w:val="24"/>
        </w:rPr>
        <w:t>Underlying policy assumptions</w:t>
      </w:r>
      <w:r w:rsidRPr="00666268">
        <w:rPr>
          <w:b/>
          <w:szCs w:val="24"/>
        </w:rPr>
        <w:t xml:space="preserve"> of the proposals</w:t>
      </w:r>
      <w:r w:rsidR="000A2342">
        <w:rPr>
          <w:b/>
          <w:szCs w:val="24"/>
        </w:rPr>
        <w:t xml:space="preserve"> </w:t>
      </w:r>
      <w:r w:rsidR="001E333D">
        <w:rPr>
          <w:b/>
          <w:szCs w:val="24"/>
        </w:rPr>
        <w:t xml:space="preserve">need to be defined and </w:t>
      </w:r>
      <w:r>
        <w:rPr>
          <w:b/>
          <w:szCs w:val="24"/>
        </w:rPr>
        <w:t>justified</w:t>
      </w:r>
    </w:p>
    <w:p w14:paraId="0F51BD2D" w14:textId="003B2E43" w:rsidR="000A2342" w:rsidRPr="000A2342" w:rsidRDefault="000A2342" w:rsidP="007D5D5C">
      <w:pPr>
        <w:spacing w:line="360" w:lineRule="auto"/>
        <w:jc w:val="both"/>
        <w:rPr>
          <w:i/>
          <w:szCs w:val="24"/>
          <w:u w:val="single"/>
        </w:rPr>
      </w:pPr>
      <w:r w:rsidRPr="000A2342">
        <w:rPr>
          <w:i/>
          <w:szCs w:val="24"/>
          <w:u w:val="single"/>
        </w:rPr>
        <w:t>The need to set the context and justify assumptions</w:t>
      </w:r>
    </w:p>
    <w:p w14:paraId="6ED7BF78" w14:textId="690C5BF9" w:rsidR="007D5D5C" w:rsidRDefault="007D5D5C" w:rsidP="007D5D5C">
      <w:pPr>
        <w:spacing w:line="360" w:lineRule="auto"/>
        <w:jc w:val="both"/>
        <w:rPr>
          <w:b/>
          <w:bCs/>
          <w:szCs w:val="24"/>
        </w:rPr>
      </w:pPr>
      <w:r>
        <w:rPr>
          <w:b/>
          <w:bCs/>
          <w:szCs w:val="24"/>
        </w:rPr>
        <w:t xml:space="preserve">II </w:t>
      </w:r>
      <w:r w:rsidRPr="00AF7AFA">
        <w:rPr>
          <w:b/>
          <w:bCs/>
          <w:szCs w:val="24"/>
        </w:rPr>
        <w:t xml:space="preserve"> </w:t>
      </w:r>
      <w:r>
        <w:rPr>
          <w:b/>
          <w:bCs/>
          <w:szCs w:val="24"/>
        </w:rPr>
        <w:t>Policy</w:t>
      </w:r>
      <w:r w:rsidRPr="00AF7AFA">
        <w:rPr>
          <w:b/>
          <w:bCs/>
          <w:szCs w:val="24"/>
        </w:rPr>
        <w:t xml:space="preserve"> </w:t>
      </w:r>
      <w:r>
        <w:rPr>
          <w:b/>
          <w:bCs/>
          <w:szCs w:val="24"/>
        </w:rPr>
        <w:t xml:space="preserve">shifts and follow-ups since 2011-2 </w:t>
      </w:r>
      <w:r w:rsidR="001E333D">
        <w:rPr>
          <w:b/>
          <w:bCs/>
          <w:szCs w:val="24"/>
        </w:rPr>
        <w:t xml:space="preserve">need to be </w:t>
      </w:r>
      <w:r>
        <w:rPr>
          <w:b/>
          <w:bCs/>
          <w:szCs w:val="24"/>
        </w:rPr>
        <w:t>identified</w:t>
      </w:r>
    </w:p>
    <w:p w14:paraId="796A75B0" w14:textId="04BA2EB4" w:rsidR="000A2342" w:rsidRPr="000A2342" w:rsidRDefault="000A2342" w:rsidP="000A2342">
      <w:pPr>
        <w:widowControl w:val="0"/>
        <w:tabs>
          <w:tab w:val="left" w:pos="220"/>
          <w:tab w:val="left" w:pos="720"/>
        </w:tabs>
        <w:autoSpaceDE w:val="0"/>
        <w:autoSpaceDN w:val="0"/>
        <w:adjustRightInd w:val="0"/>
        <w:spacing w:after="0" w:line="360" w:lineRule="auto"/>
        <w:jc w:val="both"/>
        <w:rPr>
          <w:rFonts w:cs="Times"/>
          <w:i/>
          <w:color w:val="0B0B0B"/>
          <w:szCs w:val="24"/>
          <w:u w:val="single"/>
        </w:rPr>
      </w:pPr>
      <w:r w:rsidRPr="000A2342">
        <w:rPr>
          <w:rFonts w:cs="Times"/>
          <w:i/>
          <w:color w:val="0B0B0B"/>
          <w:szCs w:val="24"/>
          <w:u w:val="single"/>
        </w:rPr>
        <w:t>Previous proposals sh</w:t>
      </w:r>
      <w:r>
        <w:rPr>
          <w:rFonts w:cs="Times"/>
          <w:i/>
          <w:color w:val="0B0B0B"/>
          <w:szCs w:val="24"/>
          <w:u w:val="single"/>
        </w:rPr>
        <w:t>ould be followed up or it should</w:t>
      </w:r>
      <w:r w:rsidRPr="000A2342">
        <w:rPr>
          <w:rFonts w:cs="Times"/>
          <w:i/>
          <w:color w:val="0B0B0B"/>
          <w:szCs w:val="24"/>
          <w:u w:val="single"/>
        </w:rPr>
        <w:t xml:space="preserve"> be explained why they have been abandoned</w:t>
      </w:r>
    </w:p>
    <w:p w14:paraId="65D947B7" w14:textId="6EC20E28" w:rsidR="007D5D5C" w:rsidRDefault="00126C1C" w:rsidP="007D5D5C">
      <w:pPr>
        <w:pStyle w:val="NormalWeb"/>
        <w:spacing w:line="360" w:lineRule="auto"/>
        <w:rPr>
          <w:rFonts w:asciiTheme="minorHAnsi" w:hAnsiTheme="minorHAnsi"/>
          <w:b/>
          <w:sz w:val="24"/>
          <w:szCs w:val="24"/>
        </w:rPr>
      </w:pPr>
      <w:r>
        <w:rPr>
          <w:rFonts w:asciiTheme="minorHAnsi" w:hAnsiTheme="minorHAnsi"/>
          <w:b/>
          <w:sz w:val="24"/>
          <w:szCs w:val="24"/>
        </w:rPr>
        <w:t xml:space="preserve">III </w:t>
      </w:r>
      <w:r w:rsidR="001E333D">
        <w:rPr>
          <w:rFonts w:asciiTheme="minorHAnsi" w:hAnsiTheme="minorHAnsi"/>
          <w:b/>
          <w:sz w:val="24"/>
          <w:szCs w:val="24"/>
        </w:rPr>
        <w:t>The design of the</w:t>
      </w:r>
      <w:r w:rsidR="007D5D5C">
        <w:rPr>
          <w:rFonts w:asciiTheme="minorHAnsi" w:hAnsiTheme="minorHAnsi"/>
          <w:b/>
          <w:sz w:val="24"/>
          <w:szCs w:val="24"/>
        </w:rPr>
        <w:t xml:space="preserve"> consultation questions</w:t>
      </w:r>
      <w:r w:rsidR="001E333D">
        <w:rPr>
          <w:rFonts w:asciiTheme="minorHAnsi" w:hAnsiTheme="minorHAnsi"/>
          <w:b/>
          <w:sz w:val="24"/>
          <w:szCs w:val="24"/>
        </w:rPr>
        <w:t xml:space="preserve"> is poor</w:t>
      </w:r>
      <w:r w:rsidR="007D5D5C">
        <w:rPr>
          <w:rFonts w:asciiTheme="minorHAnsi" w:hAnsiTheme="minorHAnsi"/>
          <w:b/>
          <w:sz w:val="24"/>
          <w:szCs w:val="24"/>
        </w:rPr>
        <w:t xml:space="preserve"> </w:t>
      </w:r>
    </w:p>
    <w:p w14:paraId="7C72FF0C" w14:textId="7E3E05BB" w:rsidR="009D5840" w:rsidRPr="009D5840" w:rsidRDefault="009D5840" w:rsidP="007D5D5C">
      <w:pPr>
        <w:pStyle w:val="NormalWeb"/>
        <w:spacing w:line="360" w:lineRule="auto"/>
        <w:rPr>
          <w:rFonts w:asciiTheme="minorHAnsi" w:hAnsiTheme="minorHAnsi"/>
          <w:sz w:val="24"/>
          <w:szCs w:val="24"/>
          <w:u w:val="single"/>
        </w:rPr>
      </w:pPr>
      <w:r w:rsidRPr="009D5840">
        <w:rPr>
          <w:rFonts w:asciiTheme="minorHAnsi" w:hAnsiTheme="minorHAnsi"/>
          <w:sz w:val="24"/>
          <w:szCs w:val="24"/>
          <w:u w:val="single"/>
        </w:rPr>
        <w:t>A consultation’s value depends on</w:t>
      </w:r>
      <w:r>
        <w:rPr>
          <w:rFonts w:asciiTheme="minorHAnsi" w:hAnsiTheme="minorHAnsi"/>
          <w:sz w:val="24"/>
          <w:szCs w:val="24"/>
          <w:u w:val="single"/>
        </w:rPr>
        <w:t xml:space="preserve"> the quality of the questions and the freedom of respondents to submit comment outside a formal questionnaire</w:t>
      </w:r>
    </w:p>
    <w:p w14:paraId="5BA131B0" w14:textId="1996E7DF" w:rsidR="007D5D5C" w:rsidRDefault="007D5D5C" w:rsidP="007D5D5C">
      <w:pPr>
        <w:pStyle w:val="NormalWeb"/>
        <w:spacing w:line="360" w:lineRule="auto"/>
        <w:rPr>
          <w:rFonts w:asciiTheme="minorHAnsi" w:hAnsiTheme="minorHAnsi" w:cs="Arial"/>
          <w:b/>
          <w:color w:val="000000"/>
          <w:sz w:val="24"/>
          <w:szCs w:val="24"/>
        </w:rPr>
      </w:pPr>
      <w:r>
        <w:rPr>
          <w:rFonts w:asciiTheme="minorHAnsi" w:hAnsiTheme="minorHAnsi" w:cs="Arial"/>
          <w:b/>
          <w:color w:val="000000"/>
          <w:sz w:val="24"/>
          <w:szCs w:val="24"/>
        </w:rPr>
        <w:lastRenderedPageBreak/>
        <w:t xml:space="preserve">IV. </w:t>
      </w:r>
      <w:r w:rsidR="001E333D">
        <w:rPr>
          <w:rFonts w:asciiTheme="minorHAnsi" w:hAnsiTheme="minorHAnsi" w:cs="Arial"/>
          <w:b/>
          <w:color w:val="000000"/>
          <w:sz w:val="24"/>
          <w:szCs w:val="24"/>
        </w:rPr>
        <w:t xml:space="preserve"> The needs of taught graduate and </w:t>
      </w:r>
      <w:r>
        <w:rPr>
          <w:rFonts w:asciiTheme="minorHAnsi" w:hAnsiTheme="minorHAnsi" w:cs="Arial"/>
          <w:b/>
          <w:color w:val="000000"/>
          <w:sz w:val="24"/>
          <w:szCs w:val="24"/>
        </w:rPr>
        <w:t>research student</w:t>
      </w:r>
      <w:r w:rsidR="001E333D">
        <w:rPr>
          <w:rFonts w:asciiTheme="minorHAnsi" w:hAnsiTheme="minorHAnsi" w:cs="Arial"/>
          <w:b/>
          <w:color w:val="000000"/>
          <w:sz w:val="24"/>
          <w:szCs w:val="24"/>
        </w:rPr>
        <w:t>s are not considered</w:t>
      </w:r>
    </w:p>
    <w:p w14:paraId="5D3ED2B9" w14:textId="4878B34D" w:rsidR="009D5840" w:rsidRPr="009D5840" w:rsidRDefault="009D5840" w:rsidP="009D5840">
      <w:pPr>
        <w:spacing w:line="360" w:lineRule="auto"/>
        <w:jc w:val="both"/>
        <w:rPr>
          <w:bCs/>
          <w:u w:val="single"/>
        </w:rPr>
      </w:pPr>
      <w:r w:rsidRPr="009D5840">
        <w:rPr>
          <w:bCs/>
          <w:u w:val="single"/>
        </w:rPr>
        <w:t>The needs of graduate and especially research students are largely ignored</w:t>
      </w:r>
    </w:p>
    <w:p w14:paraId="26DC58AC" w14:textId="3AC38FD3" w:rsidR="009D5840" w:rsidRPr="009D5840" w:rsidRDefault="007D5D5C" w:rsidP="009D5840">
      <w:pPr>
        <w:pStyle w:val="NormalWeb"/>
        <w:spacing w:line="360" w:lineRule="auto"/>
        <w:rPr>
          <w:rFonts w:asciiTheme="minorHAnsi" w:hAnsiTheme="minorHAnsi" w:cs="Arial"/>
          <w:b/>
          <w:color w:val="000000"/>
          <w:sz w:val="24"/>
          <w:szCs w:val="24"/>
        </w:rPr>
      </w:pPr>
      <w:r>
        <w:rPr>
          <w:rFonts w:asciiTheme="minorHAnsi" w:hAnsiTheme="minorHAnsi" w:cs="Arial"/>
          <w:b/>
          <w:color w:val="000000"/>
          <w:sz w:val="24"/>
          <w:szCs w:val="24"/>
        </w:rPr>
        <w:t xml:space="preserve">V </w:t>
      </w:r>
      <w:r w:rsidR="00126C1C">
        <w:rPr>
          <w:rFonts w:asciiTheme="minorHAnsi" w:hAnsiTheme="minorHAnsi" w:cs="Arial"/>
          <w:b/>
          <w:color w:val="000000"/>
          <w:sz w:val="24"/>
          <w:szCs w:val="24"/>
        </w:rPr>
        <w:t xml:space="preserve"> </w:t>
      </w:r>
      <w:r w:rsidR="001E333D">
        <w:rPr>
          <w:rFonts w:asciiTheme="minorHAnsi" w:hAnsiTheme="minorHAnsi" w:cs="Arial"/>
          <w:b/>
          <w:color w:val="000000"/>
          <w:sz w:val="24"/>
          <w:szCs w:val="24"/>
        </w:rPr>
        <w:t>Proposals for changed s</w:t>
      </w:r>
      <w:r w:rsidRPr="00C6795E">
        <w:rPr>
          <w:rFonts w:asciiTheme="minorHAnsi" w:hAnsiTheme="minorHAnsi" w:cs="Arial"/>
          <w:b/>
          <w:color w:val="000000"/>
          <w:sz w:val="24"/>
          <w:szCs w:val="24"/>
        </w:rPr>
        <w:t xml:space="preserve">ector </w:t>
      </w:r>
      <w:r w:rsidR="001E333D">
        <w:rPr>
          <w:rFonts w:asciiTheme="minorHAnsi" w:hAnsiTheme="minorHAnsi" w:cs="Arial"/>
          <w:b/>
          <w:color w:val="000000"/>
          <w:sz w:val="24"/>
          <w:szCs w:val="24"/>
        </w:rPr>
        <w:t>‘</w:t>
      </w:r>
      <w:r w:rsidRPr="00C6795E">
        <w:rPr>
          <w:rFonts w:asciiTheme="minorHAnsi" w:hAnsiTheme="minorHAnsi" w:cs="Arial"/>
          <w:b/>
          <w:color w:val="000000"/>
          <w:sz w:val="24"/>
          <w:szCs w:val="24"/>
        </w:rPr>
        <w:t>regulation</w:t>
      </w:r>
      <w:r w:rsidR="001E333D">
        <w:rPr>
          <w:rFonts w:asciiTheme="minorHAnsi" w:hAnsiTheme="minorHAnsi" w:cs="Arial"/>
          <w:b/>
          <w:color w:val="000000"/>
          <w:sz w:val="24"/>
          <w:szCs w:val="24"/>
        </w:rPr>
        <w:t xml:space="preserve">’ </w:t>
      </w:r>
      <w:r w:rsidR="00C262EA">
        <w:rPr>
          <w:rFonts w:asciiTheme="minorHAnsi" w:hAnsiTheme="minorHAnsi" w:cs="Arial"/>
          <w:b/>
          <w:color w:val="000000"/>
          <w:sz w:val="24"/>
          <w:szCs w:val="24"/>
        </w:rPr>
        <w:t>and privatisation of publicly-funded providers</w:t>
      </w:r>
      <w:r w:rsidR="001E333D">
        <w:rPr>
          <w:rFonts w:asciiTheme="minorHAnsi" w:hAnsiTheme="minorHAnsi" w:cs="Arial"/>
          <w:b/>
          <w:color w:val="000000"/>
          <w:sz w:val="24"/>
          <w:szCs w:val="24"/>
        </w:rPr>
        <w:t xml:space="preserve"> are not thought through</w:t>
      </w:r>
    </w:p>
    <w:p w14:paraId="4E156106" w14:textId="7057D42B" w:rsidR="007D5D5C" w:rsidRPr="009D5840" w:rsidRDefault="009D5840" w:rsidP="009D5840">
      <w:pPr>
        <w:widowControl w:val="0"/>
        <w:autoSpaceDE w:val="0"/>
        <w:autoSpaceDN w:val="0"/>
        <w:adjustRightInd w:val="0"/>
        <w:spacing w:after="0" w:line="360" w:lineRule="auto"/>
        <w:jc w:val="both"/>
        <w:rPr>
          <w:rFonts w:cs="Arial"/>
          <w:i/>
          <w:szCs w:val="24"/>
          <w:u w:val="single"/>
        </w:rPr>
      </w:pPr>
      <w:r w:rsidRPr="009D5840">
        <w:rPr>
          <w:rFonts w:cs="Arial"/>
          <w:i/>
          <w:szCs w:val="24"/>
          <w:u w:val="single"/>
        </w:rPr>
        <w:t xml:space="preserve">The most </w:t>
      </w:r>
      <w:r>
        <w:rPr>
          <w:rFonts w:cs="Arial"/>
          <w:i/>
          <w:szCs w:val="24"/>
          <w:u w:val="single"/>
        </w:rPr>
        <w:t>significant</w:t>
      </w:r>
      <w:r w:rsidRPr="009D5840">
        <w:rPr>
          <w:rFonts w:cs="Arial"/>
          <w:i/>
          <w:szCs w:val="24"/>
          <w:u w:val="single"/>
        </w:rPr>
        <w:t xml:space="preserve"> continuance of policy proposals from 2011 is not signalled or provid</w:t>
      </w:r>
      <w:r w:rsidR="00C262EA">
        <w:rPr>
          <w:rFonts w:cs="Arial"/>
          <w:i/>
          <w:szCs w:val="24"/>
          <w:u w:val="single"/>
        </w:rPr>
        <w:t>ed with a sufficient set of consultati</w:t>
      </w:r>
      <w:r w:rsidRPr="009D5840">
        <w:rPr>
          <w:rFonts w:cs="Arial"/>
          <w:i/>
          <w:szCs w:val="24"/>
          <w:u w:val="single"/>
        </w:rPr>
        <w:t>on questions</w:t>
      </w:r>
    </w:p>
    <w:p w14:paraId="29F4FF31" w14:textId="77777777" w:rsidR="009D5840" w:rsidRDefault="009D5840" w:rsidP="009D5840">
      <w:pPr>
        <w:rPr>
          <w:b/>
          <w:szCs w:val="24"/>
        </w:rPr>
      </w:pPr>
      <w:r>
        <w:rPr>
          <w:b/>
          <w:szCs w:val="24"/>
        </w:rPr>
        <w:br w:type="page"/>
      </w:r>
    </w:p>
    <w:p w14:paraId="3142ECB3" w14:textId="77777777" w:rsidR="001E333D" w:rsidRDefault="001E333D" w:rsidP="001E333D">
      <w:pPr>
        <w:spacing w:line="360" w:lineRule="auto"/>
        <w:jc w:val="both"/>
        <w:rPr>
          <w:b/>
          <w:szCs w:val="24"/>
        </w:rPr>
      </w:pPr>
      <w:r>
        <w:rPr>
          <w:b/>
          <w:szCs w:val="24"/>
        </w:rPr>
        <w:lastRenderedPageBreak/>
        <w:t>I  Underlying policy assumptions</w:t>
      </w:r>
      <w:r w:rsidRPr="00666268">
        <w:rPr>
          <w:b/>
          <w:szCs w:val="24"/>
        </w:rPr>
        <w:t xml:space="preserve"> of the proposals</w:t>
      </w:r>
      <w:r>
        <w:rPr>
          <w:b/>
          <w:szCs w:val="24"/>
        </w:rPr>
        <w:t xml:space="preserve"> need to be defined and justified</w:t>
      </w:r>
    </w:p>
    <w:p w14:paraId="6F7F6A23" w14:textId="77777777" w:rsidR="001E333D" w:rsidRPr="000A2342" w:rsidRDefault="001E333D" w:rsidP="001E333D">
      <w:pPr>
        <w:spacing w:line="360" w:lineRule="auto"/>
        <w:jc w:val="both"/>
        <w:rPr>
          <w:i/>
          <w:szCs w:val="24"/>
          <w:u w:val="single"/>
        </w:rPr>
      </w:pPr>
      <w:r w:rsidRPr="000A2342">
        <w:rPr>
          <w:i/>
          <w:szCs w:val="24"/>
          <w:u w:val="single"/>
        </w:rPr>
        <w:t>The need to set the context and justify assumptions</w:t>
      </w:r>
    </w:p>
    <w:p w14:paraId="6F76E00C" w14:textId="222A992B" w:rsidR="007D5D5C" w:rsidRDefault="007D5D5C" w:rsidP="007D5D5C">
      <w:pPr>
        <w:spacing w:line="360" w:lineRule="auto"/>
        <w:jc w:val="both"/>
        <w:rPr>
          <w:szCs w:val="24"/>
        </w:rPr>
      </w:pPr>
      <w:r>
        <w:rPr>
          <w:szCs w:val="24"/>
        </w:rPr>
        <w:t xml:space="preserve">1. The Green Paper </w:t>
      </w:r>
      <w:r w:rsidRPr="00703C5C">
        <w:rPr>
          <w:bCs/>
          <w:i/>
          <w:szCs w:val="24"/>
        </w:rPr>
        <w:t xml:space="preserve">Fulfilling our Potential: Teaching Excellence, Social Mobility and Student </w:t>
      </w:r>
      <w:r>
        <w:rPr>
          <w:bCs/>
          <w:i/>
          <w:szCs w:val="24"/>
        </w:rPr>
        <w:t>Choice</w:t>
      </w:r>
      <w:r w:rsidRPr="00703C5C">
        <w:rPr>
          <w:rStyle w:val="FootnoteReference"/>
          <w:bCs/>
          <w:i/>
          <w:szCs w:val="24"/>
        </w:rPr>
        <w:footnoteReference w:id="1"/>
      </w:r>
      <w:r w:rsidRPr="00703C5C">
        <w:rPr>
          <w:bCs/>
          <w:i/>
          <w:szCs w:val="24"/>
        </w:rPr>
        <w:t xml:space="preserve"> </w:t>
      </w:r>
      <w:r w:rsidR="00126C1C">
        <w:rPr>
          <w:szCs w:val="24"/>
        </w:rPr>
        <w:t xml:space="preserve">does not </w:t>
      </w:r>
      <w:r>
        <w:rPr>
          <w:szCs w:val="24"/>
        </w:rPr>
        <w:t>set out explicitly or defend in context the underlying polcy assumptions on which it is based.  These include the view that  increased sp</w:t>
      </w:r>
      <w:r w:rsidR="00126C1C">
        <w:rPr>
          <w:szCs w:val="24"/>
        </w:rPr>
        <w:t>eed and ease of access for new (</w:t>
      </w:r>
      <w:r>
        <w:rPr>
          <w:szCs w:val="24"/>
        </w:rPr>
        <w:t>mainly teaching-only</w:t>
      </w:r>
      <w:r w:rsidR="00126C1C">
        <w:rPr>
          <w:szCs w:val="24"/>
        </w:rPr>
        <w:t>)</w:t>
      </w:r>
      <w:r>
        <w:rPr>
          <w:szCs w:val="24"/>
        </w:rPr>
        <w:t xml:space="preserve"> providers, consequent expansion of the sector allowing unrestricted ‘diversity’, and encouraging competition fierce enough to make it likely that providers will fail, are all </w:t>
      </w:r>
      <w:r w:rsidR="00126C1C">
        <w:rPr>
          <w:szCs w:val="24"/>
        </w:rPr>
        <w:t xml:space="preserve">desirable and will </w:t>
      </w:r>
      <w:r>
        <w:rPr>
          <w:szCs w:val="24"/>
        </w:rPr>
        <w:t xml:space="preserve">benefit </w:t>
      </w:r>
      <w:r w:rsidR="00126C1C">
        <w:rPr>
          <w:szCs w:val="24"/>
        </w:rPr>
        <w:t>students.</w:t>
      </w:r>
    </w:p>
    <w:p w14:paraId="3E7E1D80" w14:textId="742CC3A5" w:rsidR="007D5D5C" w:rsidRDefault="007D5D5C" w:rsidP="007D5D5C">
      <w:pPr>
        <w:spacing w:line="360" w:lineRule="auto"/>
        <w:jc w:val="both"/>
        <w:rPr>
          <w:szCs w:val="24"/>
        </w:rPr>
      </w:pPr>
      <w:r>
        <w:rPr>
          <w:szCs w:val="24"/>
        </w:rPr>
        <w:t>2. The</w:t>
      </w:r>
      <w:r w:rsidR="00126C1C">
        <w:rPr>
          <w:szCs w:val="24"/>
        </w:rPr>
        <w:t xml:space="preserve"> student category</w:t>
      </w:r>
      <w:r w:rsidR="000A2342">
        <w:rPr>
          <w:szCs w:val="24"/>
        </w:rPr>
        <w:t xml:space="preserve"> intended</w:t>
      </w:r>
      <w:r w:rsidR="00126C1C">
        <w:rPr>
          <w:szCs w:val="24"/>
        </w:rPr>
        <w:t xml:space="preserve"> </w:t>
      </w:r>
      <w:r w:rsidR="000A2342">
        <w:rPr>
          <w:szCs w:val="24"/>
        </w:rPr>
        <w:t>to be ‘put at the heart of the system’ by</w:t>
      </w:r>
      <w:r w:rsidR="00126C1C">
        <w:rPr>
          <w:szCs w:val="24"/>
        </w:rPr>
        <w:t xml:space="preserve"> the document is narrow. The</w:t>
      </w:r>
      <w:r>
        <w:rPr>
          <w:szCs w:val="24"/>
        </w:rPr>
        <w:t xml:space="preserve"> needs of mature and part-time</w:t>
      </w:r>
      <w:r w:rsidR="000A2342">
        <w:rPr>
          <w:szCs w:val="24"/>
        </w:rPr>
        <w:t xml:space="preserve"> undergraduate</w:t>
      </w:r>
      <w:r>
        <w:rPr>
          <w:szCs w:val="24"/>
        </w:rPr>
        <w:t xml:space="preserve"> students are not fully addressed. Graduate students are not considered. </w:t>
      </w:r>
      <w:r w:rsidR="000A2342">
        <w:rPr>
          <w:szCs w:val="24"/>
        </w:rPr>
        <w:t>U</w:t>
      </w:r>
      <w:r>
        <w:rPr>
          <w:szCs w:val="24"/>
        </w:rPr>
        <w:t xml:space="preserve">ndergraduate students who have a previous qualification, even if self-funded, will apparently continue to be ineligible for student lans. </w:t>
      </w:r>
    </w:p>
    <w:p w14:paraId="073E9C22" w14:textId="77777777" w:rsidR="007D5D5C" w:rsidRDefault="007D5D5C" w:rsidP="007D5D5C">
      <w:pPr>
        <w:spacing w:line="360" w:lineRule="auto"/>
        <w:jc w:val="both"/>
        <w:rPr>
          <w:szCs w:val="24"/>
        </w:rPr>
      </w:pPr>
      <w:r>
        <w:rPr>
          <w:szCs w:val="24"/>
        </w:rPr>
        <w:t xml:space="preserve">3. </w:t>
      </w:r>
      <w:r w:rsidRPr="00703C5C">
        <w:rPr>
          <w:szCs w:val="24"/>
        </w:rPr>
        <w:t>If radical changes to a complex system</w:t>
      </w:r>
      <w:r>
        <w:rPr>
          <w:szCs w:val="24"/>
        </w:rPr>
        <w:t xml:space="preserve"> </w:t>
      </w:r>
      <w:r w:rsidRPr="00703C5C">
        <w:rPr>
          <w:szCs w:val="24"/>
        </w:rPr>
        <w:t>are</w:t>
      </w:r>
      <w:r>
        <w:rPr>
          <w:szCs w:val="24"/>
        </w:rPr>
        <w:t xml:space="preserve"> to be</w:t>
      </w:r>
      <w:r w:rsidRPr="00703C5C">
        <w:rPr>
          <w:szCs w:val="24"/>
        </w:rPr>
        <w:t xml:space="preserve"> proposed, it is sensible to set out the changes in the full context in which they are to operate and against a background of prior adjustments</w:t>
      </w:r>
      <w:r>
        <w:rPr>
          <w:szCs w:val="24"/>
        </w:rPr>
        <w:t>,</w:t>
      </w:r>
      <w:r w:rsidRPr="00703C5C">
        <w:rPr>
          <w:szCs w:val="24"/>
        </w:rPr>
        <w:t xml:space="preserve"> in order to make it clear what is part of a continuing process of change and what is quite new</w:t>
      </w:r>
      <w:r>
        <w:rPr>
          <w:szCs w:val="24"/>
        </w:rPr>
        <w:t xml:space="preserve">. </w:t>
      </w:r>
    </w:p>
    <w:p w14:paraId="07F875A8" w14:textId="58DE1C58"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Pr>
          <w:szCs w:val="24"/>
        </w:rPr>
        <w:t>4. Immediately previous proposals and consultations should have formed part of the context in which the Green Paper is set, particul</w:t>
      </w:r>
      <w:r w:rsidR="000A2342">
        <w:rPr>
          <w:szCs w:val="24"/>
        </w:rPr>
        <w:t xml:space="preserve">arly when they bear a date only </w:t>
      </w:r>
      <w:r>
        <w:rPr>
          <w:szCs w:val="24"/>
        </w:rPr>
        <w:t xml:space="preserve">or three </w:t>
      </w:r>
      <w:r w:rsidR="000A2342">
        <w:rPr>
          <w:szCs w:val="24"/>
        </w:rPr>
        <w:t xml:space="preserve">or four </w:t>
      </w:r>
      <w:r>
        <w:rPr>
          <w:szCs w:val="24"/>
        </w:rPr>
        <w:t xml:space="preserve">years earlier and when they are acknowledged to have left their business unfinished, with the decision not to proceed to a Bill or to actual legislation while the consequences of the substantial rise in tuition fees were still unclear.  A Ministerial letter of June 2012 </w:t>
      </w:r>
      <w:r>
        <w:rPr>
          <w:rFonts w:cs="Times"/>
          <w:color w:val="0B0B0B"/>
          <w:szCs w:val="24"/>
        </w:rPr>
        <w:t xml:space="preserve"> recorded this decision:</w:t>
      </w:r>
    </w:p>
    <w:p w14:paraId="61C67570"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sidRPr="002A507D">
        <w:rPr>
          <w:rFonts w:cs="Arial"/>
          <w:i/>
          <w:szCs w:val="24"/>
          <w:lang w:val="en-GB" w:eastAsia="en-US"/>
        </w:rPr>
        <w:t xml:space="preserve">as we do not know the full effect of the funding changes we have introduced now </w:t>
      </w:r>
      <w:r w:rsidRPr="002A507D">
        <w:rPr>
          <w:rFonts w:cs="Arial"/>
          <w:i/>
          <w:szCs w:val="24"/>
          <w:lang w:val="en-GB" w:eastAsia="en-US"/>
        </w:rPr>
        <w:lastRenderedPageBreak/>
        <w:t>would not be the time to introduce changes to primary legislation. We will, therefore, continue to move our reform agenda forward primarily through administrative means.</w:t>
      </w:r>
      <w:r w:rsidRPr="002A507D">
        <w:rPr>
          <w:rStyle w:val="FootnoteReference"/>
          <w:rFonts w:cs="Times"/>
          <w:color w:val="0B0B0B"/>
          <w:szCs w:val="24"/>
        </w:rPr>
        <w:t xml:space="preserve"> </w:t>
      </w:r>
      <w:r>
        <w:rPr>
          <w:rStyle w:val="FootnoteReference"/>
          <w:rFonts w:cs="Times"/>
          <w:color w:val="0B0B0B"/>
          <w:szCs w:val="24"/>
        </w:rPr>
        <w:footnoteReference w:id="2"/>
      </w:r>
    </w:p>
    <w:p w14:paraId="15942780"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6FBC1CDC" w14:textId="7A3203EF" w:rsidR="007D5D5C" w:rsidRDefault="007D5D5C" w:rsidP="007D5D5C">
      <w:pPr>
        <w:widowControl w:val="0"/>
        <w:tabs>
          <w:tab w:val="left" w:pos="220"/>
          <w:tab w:val="left" w:pos="720"/>
        </w:tabs>
        <w:autoSpaceDE w:val="0"/>
        <w:autoSpaceDN w:val="0"/>
        <w:adjustRightInd w:val="0"/>
        <w:spacing w:after="0" w:line="360" w:lineRule="auto"/>
        <w:jc w:val="both"/>
        <w:rPr>
          <w:szCs w:val="24"/>
        </w:rPr>
      </w:pPr>
      <w:r>
        <w:rPr>
          <w:rFonts w:cs="Times"/>
          <w:color w:val="0B0B0B"/>
          <w:szCs w:val="24"/>
        </w:rPr>
        <w:t xml:space="preserve">5. </w:t>
      </w:r>
      <w:r w:rsidRPr="00703C5C">
        <w:rPr>
          <w:szCs w:val="24"/>
        </w:rPr>
        <w:t>It is also wise to think through consequential changes with great care</w:t>
      </w:r>
      <w:r>
        <w:rPr>
          <w:szCs w:val="24"/>
        </w:rPr>
        <w:t xml:space="preserve"> and thoroughness, especially where the need for a new provision is  expressly foreseen: </w:t>
      </w:r>
      <w:r w:rsidR="000A2342">
        <w:rPr>
          <w:szCs w:val="24"/>
        </w:rPr>
        <w:t>in particular the protection of</w:t>
      </w:r>
      <w:r>
        <w:rPr>
          <w:szCs w:val="24"/>
        </w:rPr>
        <w:t xml:space="preserve"> student interests if providers fail</w:t>
      </w:r>
      <w:r w:rsidRPr="00703C5C">
        <w:rPr>
          <w:szCs w:val="24"/>
        </w:rPr>
        <w:t xml:space="preserve">. </w:t>
      </w:r>
      <w:r>
        <w:rPr>
          <w:szCs w:val="24"/>
        </w:rPr>
        <w:t xml:space="preserve"> The sole aspect of this </w:t>
      </w:r>
      <w:r w:rsidR="000A2342">
        <w:rPr>
          <w:szCs w:val="24"/>
        </w:rPr>
        <w:t xml:space="preserve"> particular </w:t>
      </w:r>
      <w:r>
        <w:rPr>
          <w:szCs w:val="24"/>
        </w:rPr>
        <w:t>newly recognised ‘consequence’ considered in the Green Paper is the need to try to ensure that there is some means of completing the qualification if a provider f</w:t>
      </w:r>
      <w:r w:rsidR="000A2342">
        <w:rPr>
          <w:szCs w:val="24"/>
        </w:rPr>
        <w:t xml:space="preserve">ails during a student’s course. </w:t>
      </w:r>
      <w:r>
        <w:rPr>
          <w:szCs w:val="24"/>
        </w:rPr>
        <w:t>The Foreword acknowledges the importance of this risk:</w:t>
      </w:r>
    </w:p>
    <w:p w14:paraId="1EAC0914" w14:textId="77777777" w:rsidR="007D5D5C" w:rsidRDefault="007D5D5C" w:rsidP="007D5D5C">
      <w:pPr>
        <w:spacing w:after="0" w:line="360" w:lineRule="auto"/>
        <w:jc w:val="both"/>
        <w:rPr>
          <w:szCs w:val="24"/>
        </w:rPr>
      </w:pPr>
      <w:r w:rsidRPr="003A7194">
        <w:rPr>
          <w:i/>
          <w:szCs w:val="24"/>
        </w:rPr>
        <w:t xml:space="preserve">‘Higher education should deliver lasting value to graduates’; </w:t>
      </w:r>
      <w:r w:rsidRPr="003A7194">
        <w:rPr>
          <w:i/>
          <w:sz w:val="23"/>
          <w:szCs w:val="23"/>
        </w:rPr>
        <w:t xml:space="preserve">‘The regulation of higher education must evolve to champion value for money for students making big lifetime investments, and taxpayers underwriting our loan system’ </w:t>
      </w:r>
      <w:r w:rsidRPr="00B50DC5">
        <w:rPr>
          <w:szCs w:val="24"/>
        </w:rPr>
        <w:t>(Green Paper, Foreword)</w:t>
      </w:r>
    </w:p>
    <w:p w14:paraId="48E50022" w14:textId="2F31C1AE" w:rsidR="007D5D5C" w:rsidRPr="00BF09E9" w:rsidRDefault="000A2342" w:rsidP="007D5D5C">
      <w:pPr>
        <w:spacing w:after="0" w:line="360" w:lineRule="auto"/>
        <w:jc w:val="both"/>
        <w:rPr>
          <w:szCs w:val="24"/>
        </w:rPr>
      </w:pPr>
      <w:r>
        <w:rPr>
          <w:szCs w:val="24"/>
        </w:rPr>
        <w:t xml:space="preserve">Because the value of a degree needs to last a lifetime much more is at stake for the student who completes a degree with a provider which subsequently disappears and whose name and reputation linger in long-term public memory only under a cloud, if at all.  </w:t>
      </w:r>
      <w:r w:rsidR="007D5D5C">
        <w:rPr>
          <w:szCs w:val="24"/>
        </w:rPr>
        <w:t xml:space="preserve">The Green Paper </w:t>
      </w:r>
      <w:r>
        <w:rPr>
          <w:szCs w:val="24"/>
        </w:rPr>
        <w:t>does not</w:t>
      </w:r>
      <w:r w:rsidR="007D5D5C">
        <w:rPr>
          <w:szCs w:val="24"/>
        </w:rPr>
        <w:t xml:space="preserve"> </w:t>
      </w:r>
      <w:r>
        <w:rPr>
          <w:szCs w:val="24"/>
        </w:rPr>
        <w:t>weigh the potential consequence of</w:t>
      </w:r>
      <w:r w:rsidR="007D5D5C">
        <w:rPr>
          <w:szCs w:val="24"/>
        </w:rPr>
        <w:t xml:space="preserve"> the irretrievable damage to the currency of the valuable protected terms ‘degree’ and ‘university’ if they are handed out more freely and with fewer protections.  </w:t>
      </w:r>
    </w:p>
    <w:p w14:paraId="1442F737"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12310838" w14:textId="77777777" w:rsidR="00175798" w:rsidRDefault="00175798" w:rsidP="00175798">
      <w:pPr>
        <w:spacing w:line="360" w:lineRule="auto"/>
        <w:jc w:val="both"/>
        <w:rPr>
          <w:b/>
          <w:bCs/>
          <w:szCs w:val="24"/>
        </w:rPr>
      </w:pPr>
      <w:r>
        <w:rPr>
          <w:b/>
          <w:bCs/>
          <w:szCs w:val="24"/>
        </w:rPr>
        <w:t xml:space="preserve">II </w:t>
      </w:r>
      <w:r w:rsidRPr="00AF7AFA">
        <w:rPr>
          <w:b/>
          <w:bCs/>
          <w:szCs w:val="24"/>
        </w:rPr>
        <w:t xml:space="preserve"> </w:t>
      </w:r>
      <w:r>
        <w:rPr>
          <w:b/>
          <w:bCs/>
          <w:szCs w:val="24"/>
        </w:rPr>
        <w:t>Policy</w:t>
      </w:r>
      <w:r w:rsidRPr="00AF7AFA">
        <w:rPr>
          <w:b/>
          <w:bCs/>
          <w:szCs w:val="24"/>
        </w:rPr>
        <w:t xml:space="preserve"> </w:t>
      </w:r>
      <w:r>
        <w:rPr>
          <w:b/>
          <w:bCs/>
          <w:szCs w:val="24"/>
        </w:rPr>
        <w:t>shifts and follow-ups since 2011-2 need to be identified</w:t>
      </w:r>
    </w:p>
    <w:p w14:paraId="22DFF3B9" w14:textId="7AECF89F" w:rsidR="000A2342" w:rsidRPr="000A2342" w:rsidRDefault="000A2342" w:rsidP="007D5D5C">
      <w:pPr>
        <w:widowControl w:val="0"/>
        <w:tabs>
          <w:tab w:val="left" w:pos="220"/>
          <w:tab w:val="left" w:pos="720"/>
        </w:tabs>
        <w:autoSpaceDE w:val="0"/>
        <w:autoSpaceDN w:val="0"/>
        <w:adjustRightInd w:val="0"/>
        <w:spacing w:after="0" w:line="360" w:lineRule="auto"/>
        <w:jc w:val="both"/>
        <w:rPr>
          <w:rFonts w:cs="Times"/>
          <w:i/>
          <w:color w:val="0B0B0B"/>
          <w:szCs w:val="24"/>
          <w:u w:val="single"/>
        </w:rPr>
      </w:pPr>
      <w:r w:rsidRPr="000A2342">
        <w:rPr>
          <w:rFonts w:cs="Times"/>
          <w:i/>
          <w:color w:val="0B0B0B"/>
          <w:szCs w:val="24"/>
          <w:u w:val="single"/>
        </w:rPr>
        <w:t>Previous proposals sh</w:t>
      </w:r>
      <w:r>
        <w:rPr>
          <w:rFonts w:cs="Times"/>
          <w:i/>
          <w:color w:val="0B0B0B"/>
          <w:szCs w:val="24"/>
          <w:u w:val="single"/>
        </w:rPr>
        <w:t>ould be followed up or it should</w:t>
      </w:r>
      <w:r w:rsidRPr="000A2342">
        <w:rPr>
          <w:rFonts w:cs="Times"/>
          <w:i/>
          <w:color w:val="0B0B0B"/>
          <w:szCs w:val="24"/>
          <w:u w:val="single"/>
        </w:rPr>
        <w:t xml:space="preserve"> be explained why they have been abandoned</w:t>
      </w:r>
    </w:p>
    <w:p w14:paraId="0495CCF0" w14:textId="77777777" w:rsidR="000A2342" w:rsidRPr="00434A10" w:rsidRDefault="000A2342"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6812AACE" w14:textId="21BA999D" w:rsidR="007D5D5C" w:rsidRDefault="007D5D5C" w:rsidP="007D5D5C">
      <w:pPr>
        <w:spacing w:line="360" w:lineRule="auto"/>
        <w:jc w:val="both"/>
        <w:rPr>
          <w:bCs/>
          <w:szCs w:val="24"/>
        </w:rPr>
      </w:pPr>
      <w:r>
        <w:rPr>
          <w:szCs w:val="24"/>
        </w:rPr>
        <w:lastRenderedPageBreak/>
        <w:t>6. The</w:t>
      </w:r>
      <w:r w:rsidRPr="00703C5C">
        <w:rPr>
          <w:szCs w:val="24"/>
        </w:rPr>
        <w:t xml:space="preserve"> title</w:t>
      </w:r>
      <w:r>
        <w:rPr>
          <w:szCs w:val="24"/>
        </w:rPr>
        <w:t xml:space="preserve"> of the Green Paper,</w:t>
      </w:r>
      <w:r w:rsidRPr="00703C5C">
        <w:rPr>
          <w:szCs w:val="24"/>
        </w:rPr>
        <w:t xml:space="preserve"> </w:t>
      </w:r>
      <w:r w:rsidRPr="00703C5C">
        <w:rPr>
          <w:bCs/>
          <w:i/>
          <w:szCs w:val="24"/>
        </w:rPr>
        <w:t>Fulfilling our Potential: Teaching Excellence, Social Mobility and Student Choice</w:t>
      </w:r>
      <w:r>
        <w:rPr>
          <w:bCs/>
          <w:i/>
          <w:szCs w:val="24"/>
        </w:rPr>
        <w:t>.</w:t>
      </w:r>
      <w:r w:rsidRPr="00703C5C">
        <w:rPr>
          <w:rStyle w:val="FootnoteReference"/>
          <w:bCs/>
          <w:i/>
          <w:szCs w:val="24"/>
        </w:rPr>
        <w:footnoteReference w:id="3"/>
      </w:r>
      <w:r w:rsidRPr="00703C5C">
        <w:rPr>
          <w:bCs/>
          <w:i/>
          <w:szCs w:val="24"/>
        </w:rPr>
        <w:t xml:space="preserve"> </w:t>
      </w:r>
      <w:r w:rsidRPr="00666268">
        <w:rPr>
          <w:szCs w:val="24"/>
        </w:rPr>
        <w:t>does not mention higher education</w:t>
      </w:r>
      <w:r>
        <w:rPr>
          <w:i/>
          <w:szCs w:val="24"/>
        </w:rPr>
        <w:t xml:space="preserve">. </w:t>
      </w:r>
      <w:r w:rsidRPr="00703C5C">
        <w:rPr>
          <w:bCs/>
          <w:szCs w:val="24"/>
        </w:rPr>
        <w:t xml:space="preserve">The first indication that the document is concerned with higher education comes </w:t>
      </w:r>
      <w:r>
        <w:rPr>
          <w:bCs/>
          <w:szCs w:val="24"/>
        </w:rPr>
        <w:t>on</w:t>
      </w:r>
      <w:r w:rsidR="000A2342">
        <w:rPr>
          <w:bCs/>
          <w:szCs w:val="24"/>
        </w:rPr>
        <w:t xml:space="preserve">ly in the introductory remarks. </w:t>
      </w:r>
      <w:r>
        <w:rPr>
          <w:bCs/>
          <w:szCs w:val="24"/>
        </w:rPr>
        <w:t xml:space="preserve">However, with the </w:t>
      </w:r>
      <w:r w:rsidRPr="00746AF1">
        <w:rPr>
          <w:bCs/>
          <w:szCs w:val="24"/>
        </w:rPr>
        <w:t>words ‘</w:t>
      </w:r>
      <w:r>
        <w:rPr>
          <w:szCs w:val="24"/>
        </w:rPr>
        <w:t>t</w:t>
      </w:r>
      <w:r w:rsidRPr="00746AF1">
        <w:rPr>
          <w:szCs w:val="24"/>
        </w:rPr>
        <w:t>his consultation contains proposals to reshape the higher education landscape to have students at its heart’,</w:t>
      </w:r>
      <w:r>
        <w:rPr>
          <w:i/>
          <w:szCs w:val="24"/>
        </w:rPr>
        <w:t xml:space="preserve"> </w:t>
      </w:r>
      <w:r w:rsidRPr="00703C5C">
        <w:rPr>
          <w:bCs/>
          <w:szCs w:val="24"/>
        </w:rPr>
        <w:t>the Green Paper links it</w:t>
      </w:r>
      <w:r>
        <w:rPr>
          <w:bCs/>
          <w:szCs w:val="24"/>
        </w:rPr>
        <w:t xml:space="preserve">self  to the White Paper of 2011. This included ‘higher education’ in its title: </w:t>
      </w:r>
      <w:r w:rsidRPr="00703C5C">
        <w:rPr>
          <w:bCs/>
          <w:i/>
          <w:szCs w:val="24"/>
        </w:rPr>
        <w:t>Higher Education: Students at the heart of the system</w:t>
      </w:r>
      <w:r>
        <w:rPr>
          <w:bCs/>
          <w:szCs w:val="24"/>
        </w:rPr>
        <w:t>.</w:t>
      </w:r>
      <w:r w:rsidRPr="00703C5C">
        <w:rPr>
          <w:rStyle w:val="FootnoteReference"/>
          <w:bCs/>
          <w:szCs w:val="24"/>
        </w:rPr>
        <w:footnoteReference w:id="4"/>
      </w:r>
      <w:r>
        <w:rPr>
          <w:bCs/>
          <w:szCs w:val="24"/>
        </w:rPr>
        <w:t xml:space="preserve">  The Green Paper does not refer to the Technical Consultation which followed the White Paper’s publication in August 2011 or to the Government’s response to the two consultations.</w:t>
      </w:r>
      <w:r>
        <w:rPr>
          <w:rStyle w:val="FootnoteReference"/>
          <w:bCs/>
          <w:szCs w:val="24"/>
        </w:rPr>
        <w:footnoteReference w:id="5"/>
      </w:r>
      <w:r>
        <w:rPr>
          <w:bCs/>
          <w:szCs w:val="24"/>
        </w:rPr>
        <w:t xml:space="preserve">  A ‘technical consultation’ is promised following the Green Paper, but it appears this is intended to b</w:t>
      </w:r>
      <w:r w:rsidR="00EC2A2D">
        <w:rPr>
          <w:bCs/>
          <w:szCs w:val="24"/>
        </w:rPr>
        <w:t xml:space="preserve">e concerned only with the ‘Teaching </w:t>
      </w:r>
      <w:r>
        <w:rPr>
          <w:bCs/>
          <w:szCs w:val="24"/>
        </w:rPr>
        <w:t xml:space="preserve">Excellence Framework’ proposals. </w:t>
      </w:r>
    </w:p>
    <w:p w14:paraId="500E3C24" w14:textId="77777777" w:rsidR="007D5D5C" w:rsidRPr="00257A8D" w:rsidRDefault="007D5D5C" w:rsidP="007D5D5C">
      <w:pPr>
        <w:pStyle w:val="Default"/>
        <w:spacing w:line="360" w:lineRule="auto"/>
        <w:jc w:val="both"/>
        <w:rPr>
          <w:rFonts w:asciiTheme="minorHAnsi" w:hAnsiTheme="minorHAnsi"/>
          <w:bCs/>
        </w:rPr>
      </w:pPr>
      <w:r>
        <w:rPr>
          <w:rFonts w:asciiTheme="minorHAnsi" w:hAnsiTheme="minorHAnsi" w:cs="Times"/>
          <w:color w:val="0B0B0B"/>
        </w:rPr>
        <w:t xml:space="preserve">7. </w:t>
      </w:r>
      <w:r w:rsidRPr="0010655F">
        <w:rPr>
          <w:rFonts w:asciiTheme="minorHAnsi" w:hAnsiTheme="minorHAnsi" w:cs="Times"/>
          <w:color w:val="0B0B0B"/>
        </w:rPr>
        <w:t xml:space="preserve">The Government’s Response to both the </w:t>
      </w:r>
      <w:r>
        <w:rPr>
          <w:rFonts w:asciiTheme="minorHAnsi" w:hAnsiTheme="minorHAnsi" w:cs="Times"/>
          <w:color w:val="0B0B0B"/>
        </w:rPr>
        <w:t xml:space="preserve">2011 </w:t>
      </w:r>
      <w:r w:rsidRPr="0010655F">
        <w:rPr>
          <w:rFonts w:asciiTheme="minorHAnsi" w:hAnsiTheme="minorHAnsi" w:cs="Times"/>
          <w:color w:val="0B0B0B"/>
        </w:rPr>
        <w:t>White Paper consultation and the Technical Consultation</w:t>
      </w:r>
      <w:r>
        <w:rPr>
          <w:rFonts w:asciiTheme="minorHAnsi" w:hAnsiTheme="minorHAnsi" w:cs="Times"/>
          <w:color w:val="0B0B0B"/>
        </w:rPr>
        <w:t xml:space="preserve"> of August 2011</w:t>
      </w:r>
      <w:r w:rsidRPr="0010655F">
        <w:rPr>
          <w:rFonts w:asciiTheme="minorHAnsi" w:hAnsiTheme="minorHAnsi" w:cs="Times"/>
          <w:color w:val="0B0B0B"/>
        </w:rPr>
        <w:t xml:space="preserve"> was published  in June 2012</w:t>
      </w:r>
      <w:r>
        <w:rPr>
          <w:rFonts w:asciiTheme="minorHAnsi" w:hAnsiTheme="minorHAnsi" w:cs="Times"/>
          <w:color w:val="0B0B0B"/>
        </w:rPr>
        <w:t>,</w:t>
      </w:r>
      <w:r w:rsidRPr="0010655F">
        <w:rPr>
          <w:rStyle w:val="FootnoteReference"/>
          <w:rFonts w:asciiTheme="minorHAnsi" w:hAnsiTheme="minorHAnsi" w:cs="Times"/>
          <w:color w:val="0B0B0B"/>
        </w:rPr>
        <w:footnoteReference w:id="6"/>
      </w:r>
      <w:r w:rsidRPr="0010655F">
        <w:rPr>
          <w:rFonts w:asciiTheme="minorHAnsi" w:hAnsiTheme="minorHAnsi" w:cs="Times"/>
          <w:color w:val="0B0B0B"/>
        </w:rPr>
        <w:t xml:space="preserve">  </w:t>
      </w:r>
      <w:r>
        <w:rPr>
          <w:rFonts w:asciiTheme="minorHAnsi" w:hAnsiTheme="minorHAnsi" w:cs="Times"/>
          <w:color w:val="0B0B0B"/>
        </w:rPr>
        <w:t xml:space="preserve">at the same time as it was decided not to continue towards a Bill. </w:t>
      </w:r>
      <w:r w:rsidRPr="0010655F">
        <w:rPr>
          <w:rFonts w:asciiTheme="minorHAnsi" w:hAnsiTheme="minorHAnsi" w:cs="Times"/>
          <w:color w:val="0B0B0B"/>
        </w:rPr>
        <w:t xml:space="preserve">The leading ‘student-related’ topic at that time  (in the light of the </w:t>
      </w:r>
      <w:r>
        <w:rPr>
          <w:rFonts w:asciiTheme="minorHAnsi" w:hAnsiTheme="minorHAnsi" w:cs="Times"/>
          <w:color w:val="0B0B0B"/>
        </w:rPr>
        <w:t>shift from public funding of teaching through the</w:t>
      </w:r>
      <w:r w:rsidRPr="0010655F">
        <w:rPr>
          <w:rFonts w:asciiTheme="minorHAnsi" w:hAnsiTheme="minorHAnsi" w:cs="Times"/>
          <w:color w:val="0B0B0B"/>
        </w:rPr>
        <w:t xml:space="preserve"> block grant</w:t>
      </w:r>
      <w:r>
        <w:rPr>
          <w:rFonts w:asciiTheme="minorHAnsi" w:hAnsiTheme="minorHAnsi" w:cs="Times"/>
          <w:color w:val="0B0B0B"/>
        </w:rPr>
        <w:t xml:space="preserve"> to funding through tuition fees</w:t>
      </w:r>
      <w:r w:rsidRPr="0010655F">
        <w:rPr>
          <w:rFonts w:asciiTheme="minorHAnsi" w:hAnsiTheme="minorHAnsi" w:cs="Times"/>
          <w:color w:val="0B0B0B"/>
        </w:rPr>
        <w:t xml:space="preserve">), was student finance, </w:t>
      </w:r>
      <w:r>
        <w:rPr>
          <w:rFonts w:asciiTheme="minorHAnsi" w:hAnsiTheme="minorHAnsi" w:cs="Times"/>
          <w:color w:val="0B0B0B"/>
        </w:rPr>
        <w:t>especially</w:t>
      </w:r>
      <w:r w:rsidRPr="0010655F">
        <w:rPr>
          <w:rFonts w:asciiTheme="minorHAnsi" w:hAnsiTheme="minorHAnsi" w:cs="Times"/>
          <w:color w:val="0B0B0B"/>
        </w:rPr>
        <w:t xml:space="preserve"> </w:t>
      </w:r>
      <w:r>
        <w:rPr>
          <w:rFonts w:asciiTheme="minorHAnsi" w:hAnsiTheme="minorHAnsi" w:cs="Times"/>
          <w:color w:val="0B0B0B"/>
        </w:rPr>
        <w:t xml:space="preserve">the design of </w:t>
      </w:r>
      <w:r w:rsidRPr="0010655F">
        <w:rPr>
          <w:rFonts w:asciiTheme="minorHAnsi" w:hAnsiTheme="minorHAnsi" w:cs="Times"/>
          <w:color w:val="0B0B0B"/>
        </w:rPr>
        <w:t xml:space="preserve">policy for the allocation of the remaining teaching element of the block grant.  Second came ‘improving the student experience’. This was not considered primarily in relation to </w:t>
      </w:r>
      <w:r>
        <w:rPr>
          <w:rFonts w:asciiTheme="minorHAnsi" w:hAnsiTheme="minorHAnsi" w:cs="Times"/>
          <w:color w:val="0B0B0B"/>
        </w:rPr>
        <w:t>‘</w:t>
      </w:r>
      <w:r w:rsidRPr="0010655F">
        <w:rPr>
          <w:rFonts w:asciiTheme="minorHAnsi" w:hAnsiTheme="minorHAnsi" w:cs="Times"/>
          <w:color w:val="0B0B0B"/>
        </w:rPr>
        <w:t>teaching excellence</w:t>
      </w:r>
      <w:r>
        <w:rPr>
          <w:rFonts w:asciiTheme="minorHAnsi" w:hAnsiTheme="minorHAnsi" w:cs="Times"/>
          <w:color w:val="0B0B0B"/>
        </w:rPr>
        <w:t>’ in either of the 2011 consultations</w:t>
      </w:r>
      <w:r w:rsidRPr="0010655F">
        <w:rPr>
          <w:rFonts w:asciiTheme="minorHAnsi" w:hAnsiTheme="minorHAnsi" w:cs="Times"/>
          <w:color w:val="0B0B0B"/>
        </w:rPr>
        <w:t xml:space="preserve">. </w:t>
      </w:r>
      <w:r>
        <w:rPr>
          <w:rFonts w:asciiTheme="minorHAnsi" w:hAnsiTheme="minorHAnsi"/>
          <w:bCs/>
        </w:rPr>
        <w:t>In the White Paper of 2011 (Chapter 2) ‘teaching excellence’ was to be driven by ‘well-</w:t>
      </w:r>
      <w:r>
        <w:rPr>
          <w:rFonts w:asciiTheme="minorHAnsi" w:hAnsiTheme="minorHAnsi"/>
          <w:bCs/>
        </w:rPr>
        <w:lastRenderedPageBreak/>
        <w:t>informed students’, with the emphasis on quantifying workload and counting ‘contact hours’.  The Gibbs Report was cited.</w:t>
      </w:r>
      <w:r>
        <w:rPr>
          <w:rStyle w:val="FootnoteReference"/>
          <w:rFonts w:asciiTheme="minorHAnsi" w:hAnsiTheme="minorHAnsi"/>
          <w:bCs/>
        </w:rPr>
        <w:footnoteReference w:id="7"/>
      </w:r>
      <w:r>
        <w:rPr>
          <w:rFonts w:asciiTheme="minorHAnsi" w:hAnsiTheme="minorHAnsi"/>
          <w:bCs/>
        </w:rPr>
        <w:t xml:space="preserve"> </w:t>
      </w:r>
      <w:r w:rsidRPr="0010655F">
        <w:rPr>
          <w:rFonts w:asciiTheme="minorHAnsi" w:hAnsiTheme="minorHAnsi" w:cs="Times"/>
          <w:color w:val="0B0B0B"/>
        </w:rPr>
        <w:t>The focus of the Government response</w:t>
      </w:r>
      <w:r>
        <w:rPr>
          <w:rFonts w:asciiTheme="minorHAnsi" w:hAnsiTheme="minorHAnsi" w:cs="Times"/>
          <w:color w:val="0B0B0B"/>
        </w:rPr>
        <w:t xml:space="preserve"> at the time</w:t>
      </w:r>
      <w:r w:rsidRPr="0010655F">
        <w:rPr>
          <w:rFonts w:asciiTheme="minorHAnsi" w:hAnsiTheme="minorHAnsi" w:cs="Times"/>
          <w:color w:val="0B0B0B"/>
        </w:rPr>
        <w:t xml:space="preserve"> was on </w:t>
      </w:r>
      <w:r>
        <w:rPr>
          <w:rFonts w:asciiTheme="minorHAnsi" w:hAnsiTheme="minorHAnsi" w:cs="Times"/>
          <w:color w:val="0B0B0B"/>
        </w:rPr>
        <w:t xml:space="preserve">providing </w:t>
      </w:r>
      <w:r w:rsidRPr="0010655F">
        <w:rPr>
          <w:rFonts w:asciiTheme="minorHAnsi" w:hAnsiTheme="minorHAnsi" w:cs="Times"/>
          <w:color w:val="0B0B0B"/>
        </w:rPr>
        <w:t>better information for students to enable them to choose a course, particularly on the Key Information Set (KIS); and on student charters,  which make no appearance</w:t>
      </w:r>
      <w:r>
        <w:rPr>
          <w:rFonts w:asciiTheme="minorHAnsi" w:hAnsiTheme="minorHAnsi" w:cs="Times"/>
          <w:color w:val="0B0B0B"/>
        </w:rPr>
        <w:t xml:space="preserve"> at all</w:t>
      </w:r>
      <w:r w:rsidRPr="0010655F">
        <w:rPr>
          <w:rFonts w:asciiTheme="minorHAnsi" w:hAnsiTheme="minorHAnsi" w:cs="Times"/>
          <w:color w:val="0B0B0B"/>
        </w:rPr>
        <w:t xml:space="preserve"> in the Green Paper. </w:t>
      </w:r>
      <w:r>
        <w:rPr>
          <w:rFonts w:asciiTheme="minorHAnsi" w:hAnsiTheme="minorHAnsi" w:cs="Times"/>
          <w:color w:val="0B0B0B"/>
        </w:rPr>
        <w:t>The Competition and Markets Authority has since provided guidance (March 2015) on the need for better information for prospective and actual students and is now conducting a compliance review.</w:t>
      </w:r>
      <w:r>
        <w:rPr>
          <w:rStyle w:val="FootnoteReference"/>
          <w:rFonts w:asciiTheme="minorHAnsi" w:hAnsiTheme="minorHAnsi" w:cs="Times"/>
          <w:color w:val="0B0B0B"/>
        </w:rPr>
        <w:footnoteReference w:id="8"/>
      </w:r>
      <w:r>
        <w:rPr>
          <w:rFonts w:asciiTheme="minorHAnsi" w:hAnsiTheme="minorHAnsi" w:cs="Times"/>
          <w:color w:val="0B0B0B"/>
        </w:rPr>
        <w:t xml:space="preserve"> </w:t>
      </w:r>
      <w:r w:rsidRPr="0010655F">
        <w:rPr>
          <w:rFonts w:asciiTheme="minorHAnsi" w:hAnsiTheme="minorHAnsi" w:cs="Times"/>
          <w:color w:val="0B0B0B"/>
        </w:rPr>
        <w:t xml:space="preserve">On the call for greater diversity, the Government response concentrated on the then topical matter of managing student numbers. Third came ‘Increasing Social Mobility’, with reference to the Government-commissioned Hughes Report on </w:t>
      </w:r>
      <w:r w:rsidRPr="0010655F">
        <w:rPr>
          <w:rFonts w:asciiTheme="minorHAnsi" w:hAnsiTheme="minorHAnsi" w:cs="Times"/>
          <w:i/>
          <w:color w:val="0B0B0B"/>
        </w:rPr>
        <w:t xml:space="preserve">Access to Higher Education, </w:t>
      </w:r>
      <w:r w:rsidRPr="0010655F">
        <w:rPr>
          <w:rFonts w:asciiTheme="minorHAnsi" w:hAnsiTheme="minorHAnsi" w:cs="Times"/>
          <w:color w:val="0B0B0B"/>
        </w:rPr>
        <w:t>published in 2011.</w:t>
      </w:r>
      <w:r w:rsidRPr="0010655F">
        <w:rPr>
          <w:rStyle w:val="FootnoteReference"/>
          <w:rFonts w:asciiTheme="minorHAnsi" w:hAnsiTheme="minorHAnsi" w:cs="Times"/>
          <w:color w:val="0B0B0B"/>
        </w:rPr>
        <w:footnoteReference w:id="9"/>
      </w:r>
      <w:r w:rsidRPr="0010655F">
        <w:rPr>
          <w:rFonts w:asciiTheme="minorHAnsi" w:hAnsiTheme="minorHAnsi" w:cs="Times"/>
          <w:color w:val="0B0B0B"/>
        </w:rPr>
        <w:t xml:space="preserve">  </w:t>
      </w:r>
    </w:p>
    <w:p w14:paraId="4D261D6D" w14:textId="77777777" w:rsidR="007D5D5C" w:rsidRDefault="007D5D5C" w:rsidP="007D5D5C">
      <w:pPr>
        <w:pStyle w:val="Default"/>
        <w:spacing w:line="360" w:lineRule="auto"/>
        <w:jc w:val="both"/>
        <w:rPr>
          <w:rFonts w:asciiTheme="minorHAnsi" w:hAnsiTheme="minorHAnsi" w:cs="Times"/>
          <w:color w:val="0B0B0B"/>
        </w:rPr>
      </w:pPr>
    </w:p>
    <w:p w14:paraId="4A43AB19" w14:textId="77777777" w:rsidR="007D5D5C" w:rsidRPr="0010655F" w:rsidRDefault="007D5D5C" w:rsidP="007D5D5C">
      <w:pPr>
        <w:pStyle w:val="Default"/>
        <w:spacing w:line="360" w:lineRule="auto"/>
        <w:jc w:val="both"/>
        <w:rPr>
          <w:rFonts w:asciiTheme="minorHAnsi" w:hAnsiTheme="minorHAnsi" w:cs="Times New Roman"/>
        </w:rPr>
      </w:pPr>
      <w:r>
        <w:rPr>
          <w:rFonts w:asciiTheme="minorHAnsi" w:hAnsiTheme="minorHAnsi" w:cs="Times"/>
          <w:color w:val="0B0B0B"/>
        </w:rPr>
        <w:t xml:space="preserve">8. </w:t>
      </w:r>
      <w:r w:rsidRPr="0010655F">
        <w:rPr>
          <w:rFonts w:asciiTheme="minorHAnsi" w:hAnsiTheme="minorHAnsi" w:cs="Times"/>
          <w:color w:val="0B0B0B"/>
        </w:rPr>
        <w:t xml:space="preserve">Hughes made almost no mention of the needs of part-time students and the Green Paper </w:t>
      </w:r>
      <w:r>
        <w:rPr>
          <w:rFonts w:asciiTheme="minorHAnsi" w:hAnsiTheme="minorHAnsi" w:cs="Times"/>
          <w:color w:val="0B0B0B"/>
        </w:rPr>
        <w:t>also failed</w:t>
      </w:r>
      <w:r w:rsidRPr="0010655F">
        <w:rPr>
          <w:rFonts w:asciiTheme="minorHAnsi" w:hAnsiTheme="minorHAnsi" w:cs="Times"/>
          <w:color w:val="0B0B0B"/>
        </w:rPr>
        <w:t xml:space="preserve"> to address the causes of the substantial dr</w:t>
      </w:r>
      <w:r>
        <w:rPr>
          <w:rFonts w:asciiTheme="minorHAnsi" w:hAnsiTheme="minorHAnsi" w:cs="Times"/>
          <w:color w:val="0B0B0B"/>
        </w:rPr>
        <w:t>op in part-time student numbers -</w:t>
      </w:r>
      <w:r w:rsidRPr="0010655F">
        <w:rPr>
          <w:rFonts w:asciiTheme="minorHAnsi" w:hAnsiTheme="minorHAnsi" w:cs="Times"/>
          <w:color w:val="0B0B0B"/>
        </w:rPr>
        <w:t xml:space="preserve"> and as a consequence </w:t>
      </w:r>
      <w:r>
        <w:rPr>
          <w:rFonts w:asciiTheme="minorHAnsi" w:hAnsiTheme="minorHAnsi" w:cs="Times"/>
          <w:color w:val="0B0B0B"/>
        </w:rPr>
        <w:t xml:space="preserve">also of mature student numbers - </w:t>
      </w:r>
      <w:r w:rsidRPr="0010655F">
        <w:rPr>
          <w:rFonts w:asciiTheme="minorHAnsi" w:hAnsiTheme="minorHAnsi" w:cs="Times"/>
          <w:color w:val="0B0B0B"/>
        </w:rPr>
        <w:t xml:space="preserve">which has since occurred and which forms an important aspect of the call for widening participation.  The Green Paper relies on  </w:t>
      </w:r>
      <w:r w:rsidRPr="0010655F">
        <w:rPr>
          <w:rFonts w:asciiTheme="minorHAnsi" w:hAnsiTheme="minorHAnsi"/>
        </w:rPr>
        <w:t xml:space="preserve">BIS Research Paper No. 111 (June 2013), </w:t>
      </w:r>
      <w:r w:rsidRPr="0010655F">
        <w:rPr>
          <w:rFonts w:asciiTheme="minorHAnsi" w:hAnsiTheme="minorHAnsi"/>
          <w:i/>
        </w:rPr>
        <w:t>Privately funded providers of higher education in the UK</w:t>
      </w:r>
      <w:r w:rsidRPr="0010655F">
        <w:rPr>
          <w:rFonts w:asciiTheme="minorHAnsi" w:hAnsiTheme="minorHAnsi"/>
        </w:rPr>
        <w:t xml:space="preserve"> for its assertion that students ‘</w:t>
      </w:r>
      <w:r w:rsidRPr="0010655F">
        <w:rPr>
          <w:rFonts w:asciiTheme="minorHAnsi" w:hAnsiTheme="minorHAnsi" w:cs="Times New Roman"/>
        </w:rPr>
        <w:t>studying at alternative providers are more likely to be mature, studying part-time and distance learners’, with the warning note that this relies on Student Loan Company figures</w:t>
      </w:r>
      <w:r>
        <w:rPr>
          <w:rFonts w:asciiTheme="minorHAnsi" w:hAnsiTheme="minorHAnsi" w:cs="Times New Roman"/>
        </w:rPr>
        <w:t xml:space="preserve">. These are two years old and </w:t>
      </w:r>
      <w:r w:rsidRPr="0010655F">
        <w:rPr>
          <w:rFonts w:asciiTheme="minorHAnsi" w:hAnsiTheme="minorHAnsi" w:cs="Times New Roman"/>
        </w:rPr>
        <w:t>include</w:t>
      </w:r>
      <w:r>
        <w:rPr>
          <w:rFonts w:asciiTheme="minorHAnsi" w:hAnsiTheme="minorHAnsi" w:cs="Times New Roman"/>
        </w:rPr>
        <w:t xml:space="preserve"> </w:t>
      </w:r>
      <w:r w:rsidRPr="0010655F">
        <w:rPr>
          <w:rFonts w:asciiTheme="minorHAnsi" w:hAnsiTheme="minorHAnsi" w:cs="Times New Roman"/>
        </w:rPr>
        <w:t>only students receiving SLC student support</w:t>
      </w:r>
      <w:r>
        <w:rPr>
          <w:rFonts w:asciiTheme="minorHAnsi" w:hAnsiTheme="minorHAnsi" w:cs="Times New Roman"/>
        </w:rPr>
        <w:t>.</w:t>
      </w:r>
    </w:p>
    <w:p w14:paraId="2107C962"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42C56C46"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Pr>
          <w:rFonts w:cs="Times"/>
          <w:color w:val="0B0B0B"/>
          <w:szCs w:val="24"/>
        </w:rPr>
        <w:t xml:space="preserve">9. To turn from this response of 2012 to the Green Paper of 2015  is to enter another world of currently topical concerns. There is a new Conservative Government but the Conservative Party was a member of the previous Coalition Government and </w:t>
      </w:r>
      <w:r>
        <w:rPr>
          <w:rFonts w:cs="Times"/>
          <w:color w:val="0B0B0B"/>
          <w:szCs w:val="24"/>
        </w:rPr>
        <w:lastRenderedPageBreak/>
        <w:t xml:space="preserve">might reasonably be expected to take the need for policy continuity in this area into account. In the complex ‘provider environment’ of higher education rapid change is, practically-speaking, impossible to achieve and is made more difficult if there is no clarity about the link between earlier and later proposals to enable providers either to continue with the adjustments they have in hand or to make changes to meet new requirements. </w:t>
      </w:r>
    </w:p>
    <w:p w14:paraId="2AD791B2"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2AFD3275"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Pr>
          <w:rFonts w:cs="Times"/>
          <w:color w:val="0B0B0B"/>
          <w:szCs w:val="24"/>
        </w:rPr>
        <w:t>10. If policy-proposals do not continue from first steps in a consistent direction the burden of making  and reversing changes can be great and is likely to be costly.   Established providers tend to ‘gold-plate’ their responses when asked to make changes, with consequences which may even amount to ‘gaming’.  If proposals introduce completely new or different or even reversed requirements and expectations it is important that that be made clear.  The Green Paper fails to do this.</w:t>
      </w:r>
    </w:p>
    <w:p w14:paraId="4E856F58"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3105D6CB" w14:textId="77777777" w:rsidR="00175798" w:rsidRDefault="00175798" w:rsidP="00175798">
      <w:pPr>
        <w:pStyle w:val="NormalWeb"/>
        <w:spacing w:line="360" w:lineRule="auto"/>
        <w:rPr>
          <w:rFonts w:asciiTheme="minorHAnsi" w:hAnsiTheme="minorHAnsi"/>
          <w:b/>
          <w:sz w:val="24"/>
          <w:szCs w:val="24"/>
        </w:rPr>
      </w:pPr>
      <w:r>
        <w:rPr>
          <w:rFonts w:asciiTheme="minorHAnsi" w:hAnsiTheme="minorHAnsi"/>
          <w:b/>
          <w:sz w:val="24"/>
          <w:szCs w:val="24"/>
        </w:rPr>
        <w:t xml:space="preserve">III The design of the consultation questions is poor </w:t>
      </w:r>
    </w:p>
    <w:p w14:paraId="29812724" w14:textId="53E1F298" w:rsidR="009D5840" w:rsidRPr="009D5840" w:rsidRDefault="009D5840" w:rsidP="007D5D5C">
      <w:pPr>
        <w:pStyle w:val="NormalWeb"/>
        <w:spacing w:line="360" w:lineRule="auto"/>
        <w:rPr>
          <w:rFonts w:asciiTheme="minorHAnsi" w:hAnsiTheme="minorHAnsi"/>
          <w:sz w:val="24"/>
          <w:szCs w:val="24"/>
          <w:u w:val="single"/>
        </w:rPr>
      </w:pPr>
      <w:r w:rsidRPr="009D5840">
        <w:rPr>
          <w:rFonts w:asciiTheme="minorHAnsi" w:hAnsiTheme="minorHAnsi"/>
          <w:sz w:val="24"/>
          <w:szCs w:val="24"/>
          <w:u w:val="single"/>
        </w:rPr>
        <w:t>A consultation’s value depends on</w:t>
      </w:r>
      <w:r>
        <w:rPr>
          <w:rFonts w:asciiTheme="minorHAnsi" w:hAnsiTheme="minorHAnsi"/>
          <w:sz w:val="24"/>
          <w:szCs w:val="24"/>
          <w:u w:val="single"/>
        </w:rPr>
        <w:t xml:space="preserve"> the quality of the questions and the freedom of respondents to submit comment outside a formal questionnaire</w:t>
      </w:r>
    </w:p>
    <w:p w14:paraId="4E82A248" w14:textId="0027DAFA" w:rsidR="007D5D5C" w:rsidRDefault="007D5D5C" w:rsidP="007D5D5C">
      <w:pPr>
        <w:pStyle w:val="Default"/>
        <w:spacing w:line="360" w:lineRule="auto"/>
        <w:jc w:val="both"/>
        <w:rPr>
          <w:rFonts w:asciiTheme="minorHAnsi" w:hAnsiTheme="minorHAnsi"/>
          <w:bCs/>
          <w:color w:val="auto"/>
        </w:rPr>
      </w:pPr>
      <w:r w:rsidRPr="007B532D">
        <w:rPr>
          <w:rFonts w:asciiTheme="minorHAnsi" w:hAnsiTheme="minorHAnsi"/>
          <w:bCs/>
        </w:rPr>
        <w:t xml:space="preserve">11. The Consultation Questions are very poorly drafted. Fundamental questions are begged. The questions on the Teaching Excellence Framework (Questions 1-11) hang from the </w:t>
      </w:r>
      <w:r w:rsidRPr="007B532D">
        <w:rPr>
          <w:rFonts w:asciiTheme="minorHAnsi" w:hAnsiTheme="minorHAnsi"/>
          <w:bCs/>
          <w:color w:val="auto"/>
        </w:rPr>
        <w:t xml:space="preserve">presumption that  the </w:t>
      </w:r>
      <w:r>
        <w:rPr>
          <w:rFonts w:asciiTheme="minorHAnsi" w:hAnsiTheme="minorHAnsi"/>
          <w:bCs/>
          <w:color w:val="auto"/>
        </w:rPr>
        <w:t>word ‘robust’ in Question 1 can</w:t>
      </w:r>
      <w:r w:rsidRPr="007B532D">
        <w:rPr>
          <w:rFonts w:asciiTheme="minorHAnsi" w:hAnsiTheme="minorHAnsi"/>
          <w:bCs/>
          <w:color w:val="auto"/>
        </w:rPr>
        <w:t xml:space="preserve"> be deemed a satisfactory description of the proposals for measuring teaching excellence’. There is no opportunity for the respondent to ask what the proposals are actually measuring and whether what they are measuring is an adequate proxy for the measurement of teaching excellence?  </w:t>
      </w:r>
      <w:r>
        <w:rPr>
          <w:rFonts w:asciiTheme="minorHAnsi" w:hAnsiTheme="minorHAnsi"/>
          <w:bCs/>
          <w:color w:val="auto"/>
        </w:rPr>
        <w:t>The respondent is not invited to</w:t>
      </w:r>
      <w:r w:rsidRPr="00823C30">
        <w:rPr>
          <w:rFonts w:asciiTheme="minorHAnsi" w:hAnsiTheme="minorHAnsi"/>
          <w:bCs/>
          <w:color w:val="auto"/>
        </w:rPr>
        <w:t xml:space="preserve"> comment on the effect upon the reliability of teaching excellence ratings of </w:t>
      </w:r>
      <w:r>
        <w:rPr>
          <w:rFonts w:asciiTheme="minorHAnsi" w:hAnsiTheme="minorHAnsi"/>
          <w:bCs/>
          <w:color w:val="auto"/>
        </w:rPr>
        <w:t>the potential loss of</w:t>
      </w:r>
      <w:r w:rsidRPr="00823C30">
        <w:rPr>
          <w:rFonts w:asciiTheme="minorHAnsi" w:hAnsiTheme="minorHAnsi"/>
          <w:bCs/>
          <w:color w:val="auto"/>
        </w:rPr>
        <w:t xml:space="preserve"> the </w:t>
      </w:r>
      <w:r>
        <w:rPr>
          <w:rFonts w:asciiTheme="minorHAnsi" w:hAnsiTheme="minorHAnsi"/>
          <w:bCs/>
          <w:color w:val="auto"/>
        </w:rPr>
        <w:t xml:space="preserve">requirement </w:t>
      </w:r>
      <w:r w:rsidR="009D5840">
        <w:rPr>
          <w:rFonts w:asciiTheme="minorHAnsi" w:hAnsiTheme="minorHAnsi"/>
          <w:bCs/>
          <w:color w:val="auto"/>
        </w:rPr>
        <w:t xml:space="preserve">that a provider will have a </w:t>
      </w:r>
      <w:r w:rsidR="009D5840" w:rsidRPr="00823C30">
        <w:rPr>
          <w:rFonts w:asciiTheme="minorHAnsi" w:hAnsiTheme="minorHAnsi"/>
          <w:bCs/>
          <w:color w:val="auto"/>
        </w:rPr>
        <w:t>‘</w:t>
      </w:r>
      <w:r w:rsidR="009D5840">
        <w:rPr>
          <w:rFonts w:asciiTheme="minorHAnsi" w:hAnsiTheme="minorHAnsi"/>
          <w:bCs/>
          <w:color w:val="auto"/>
        </w:rPr>
        <w:t xml:space="preserve"> well-founded </w:t>
      </w:r>
      <w:r w:rsidR="009D5840" w:rsidRPr="00823C30">
        <w:rPr>
          <w:rFonts w:asciiTheme="minorHAnsi" w:hAnsiTheme="minorHAnsi"/>
          <w:bCs/>
          <w:color w:val="auto"/>
        </w:rPr>
        <w:t>self-critical academic community’</w:t>
      </w:r>
      <w:r w:rsidR="009D5840">
        <w:rPr>
          <w:rFonts w:asciiTheme="minorHAnsi" w:hAnsiTheme="minorHAnsi"/>
          <w:bCs/>
          <w:color w:val="auto"/>
        </w:rPr>
        <w:t>,</w:t>
      </w:r>
      <w:r w:rsidR="009D5840">
        <w:rPr>
          <w:rStyle w:val="FootnoteReference"/>
          <w:rFonts w:asciiTheme="minorHAnsi" w:hAnsiTheme="minorHAnsi"/>
          <w:bCs/>
          <w:color w:val="auto"/>
        </w:rPr>
        <w:footnoteReference w:id="10"/>
      </w:r>
      <w:r w:rsidR="009D5840">
        <w:rPr>
          <w:rFonts w:asciiTheme="minorHAnsi" w:hAnsiTheme="minorHAnsi"/>
          <w:bCs/>
          <w:color w:val="auto"/>
        </w:rPr>
        <w:t xml:space="preserve"> </w:t>
      </w:r>
      <w:r>
        <w:rPr>
          <w:rFonts w:asciiTheme="minorHAnsi" w:hAnsiTheme="minorHAnsi"/>
          <w:bCs/>
          <w:color w:val="auto"/>
        </w:rPr>
        <w:t xml:space="preserve">through </w:t>
      </w:r>
      <w:r w:rsidRPr="00823C30">
        <w:rPr>
          <w:rFonts w:asciiTheme="minorHAnsi" w:hAnsiTheme="minorHAnsi"/>
          <w:bCs/>
          <w:color w:val="auto"/>
        </w:rPr>
        <w:t>casualisat</w:t>
      </w:r>
      <w:r>
        <w:rPr>
          <w:rFonts w:asciiTheme="minorHAnsi" w:hAnsiTheme="minorHAnsi"/>
          <w:bCs/>
          <w:color w:val="auto"/>
        </w:rPr>
        <w:t xml:space="preserve">ion of academic employment and the use of teaching-only </w:t>
      </w:r>
      <w:r>
        <w:rPr>
          <w:rFonts w:asciiTheme="minorHAnsi" w:hAnsiTheme="minorHAnsi"/>
          <w:bCs/>
          <w:color w:val="auto"/>
        </w:rPr>
        <w:lastRenderedPageBreak/>
        <w:t>contracts, coupled with the over-speedy admission of new providers to the sector.</w:t>
      </w:r>
    </w:p>
    <w:p w14:paraId="04987B01" w14:textId="77777777" w:rsidR="007D5D5C" w:rsidRPr="00823C30" w:rsidRDefault="007D5D5C" w:rsidP="007D5D5C">
      <w:pPr>
        <w:pStyle w:val="Default"/>
        <w:spacing w:line="360" w:lineRule="auto"/>
        <w:jc w:val="both"/>
        <w:rPr>
          <w:bCs/>
          <w:color w:val="31849B" w:themeColor="accent5" w:themeShade="BF"/>
        </w:rPr>
      </w:pPr>
    </w:p>
    <w:p w14:paraId="68B3767B" w14:textId="37D44926" w:rsidR="007D5D5C" w:rsidRDefault="009D5840" w:rsidP="007D5D5C">
      <w:pPr>
        <w:widowControl w:val="0"/>
        <w:tabs>
          <w:tab w:val="left" w:pos="220"/>
          <w:tab w:val="left" w:pos="720"/>
        </w:tabs>
        <w:autoSpaceDE w:val="0"/>
        <w:autoSpaceDN w:val="0"/>
        <w:adjustRightInd w:val="0"/>
        <w:spacing w:after="0" w:line="360" w:lineRule="auto"/>
        <w:jc w:val="both"/>
        <w:rPr>
          <w:bCs/>
          <w:iCs/>
          <w:szCs w:val="24"/>
        </w:rPr>
      </w:pPr>
      <w:r>
        <w:rPr>
          <w:bCs/>
        </w:rPr>
        <w:t xml:space="preserve">12. </w:t>
      </w:r>
      <w:r w:rsidR="007D5D5C">
        <w:rPr>
          <w:bCs/>
        </w:rPr>
        <w:t>Few</w:t>
      </w:r>
      <w:r>
        <w:rPr>
          <w:bCs/>
        </w:rPr>
        <w:t xml:space="preserve"> of the</w:t>
      </w:r>
      <w:r w:rsidR="007D5D5C">
        <w:rPr>
          <w:bCs/>
        </w:rPr>
        <w:t xml:space="preserve"> questions are so structured as to invite the respondent to probe the background assumptions of the pr</w:t>
      </w:r>
      <w:r>
        <w:rPr>
          <w:bCs/>
        </w:rPr>
        <w:t xml:space="preserve">oposals or allow correction of potentially </w:t>
      </w:r>
      <w:r w:rsidR="007D5D5C">
        <w:rPr>
          <w:bCs/>
        </w:rPr>
        <w:t xml:space="preserve">questionable assumptions. </w:t>
      </w:r>
      <w:r w:rsidR="007D5D5C">
        <w:rPr>
          <w:bCs/>
          <w:iCs/>
          <w:szCs w:val="24"/>
        </w:rPr>
        <w:t xml:space="preserve">For example, </w:t>
      </w:r>
      <w:r w:rsidR="007D5D5C" w:rsidRPr="004823D5">
        <w:rPr>
          <w:bCs/>
          <w:szCs w:val="24"/>
        </w:rPr>
        <w:t>‘</w:t>
      </w:r>
      <w:r w:rsidR="007D5D5C" w:rsidRPr="004823D5">
        <w:rPr>
          <w:bCs/>
          <w:iCs/>
          <w:szCs w:val="24"/>
        </w:rPr>
        <w:t>How can information from the TEF be used to better inform student and employer decision making? Please quantify these benefits as far as you can’</w:t>
      </w:r>
      <w:r w:rsidR="007D5D5C">
        <w:rPr>
          <w:bCs/>
          <w:iCs/>
          <w:szCs w:val="24"/>
        </w:rPr>
        <w:t xml:space="preserve">. This manifestly needs its prior question about the desirability of introducing the TEF as proposed or at all.’ </w:t>
      </w:r>
      <w:r w:rsidR="007D5D5C">
        <w:rPr>
          <w:bCs/>
        </w:rPr>
        <w:t xml:space="preserve">‘Quantification’ is requested when </w:t>
      </w:r>
      <w:r w:rsidR="007D5D5C">
        <w:rPr>
          <w:bCs/>
          <w:iCs/>
          <w:szCs w:val="24"/>
        </w:rPr>
        <w:t>quantification’ of  what is proposed would be impossible without far greater clarity about what is to be measured and why.</w:t>
      </w:r>
    </w:p>
    <w:p w14:paraId="47D53176" w14:textId="77777777" w:rsidR="007D5D5C" w:rsidRDefault="007D5D5C" w:rsidP="007D5D5C">
      <w:pPr>
        <w:widowControl w:val="0"/>
        <w:tabs>
          <w:tab w:val="left" w:pos="220"/>
          <w:tab w:val="left" w:pos="720"/>
        </w:tabs>
        <w:autoSpaceDE w:val="0"/>
        <w:autoSpaceDN w:val="0"/>
        <w:adjustRightInd w:val="0"/>
        <w:spacing w:after="0" w:line="360" w:lineRule="auto"/>
        <w:jc w:val="both"/>
        <w:rPr>
          <w:bCs/>
          <w:iCs/>
          <w:szCs w:val="24"/>
        </w:rPr>
      </w:pPr>
    </w:p>
    <w:p w14:paraId="58D76178" w14:textId="77777777" w:rsidR="007D5D5C" w:rsidRDefault="007D5D5C" w:rsidP="007D5D5C">
      <w:pPr>
        <w:widowControl w:val="0"/>
        <w:tabs>
          <w:tab w:val="left" w:pos="220"/>
          <w:tab w:val="left" w:pos="720"/>
        </w:tabs>
        <w:autoSpaceDE w:val="0"/>
        <w:autoSpaceDN w:val="0"/>
        <w:adjustRightInd w:val="0"/>
        <w:spacing w:after="0" w:line="360" w:lineRule="auto"/>
        <w:jc w:val="both"/>
        <w:rPr>
          <w:bCs/>
        </w:rPr>
      </w:pPr>
      <w:r w:rsidRPr="004823D5">
        <w:rPr>
          <w:bCs/>
          <w:iCs/>
          <w:szCs w:val="24"/>
        </w:rPr>
        <w:t xml:space="preserve"> </w:t>
      </w:r>
      <w:r>
        <w:rPr>
          <w:bCs/>
          <w:iCs/>
          <w:szCs w:val="24"/>
        </w:rPr>
        <w:t xml:space="preserve">13. </w:t>
      </w:r>
      <w:r w:rsidRPr="004823D5">
        <w:rPr>
          <w:bCs/>
        </w:rPr>
        <w:t>There</w:t>
      </w:r>
      <w:r>
        <w:rPr>
          <w:bCs/>
        </w:rPr>
        <w:t xml:space="preserve"> are  too many ‘agree/disagree’ questions with their built-in known drawbacks.  ‘Agreement’ is invited to proposals which may be mere sketches. This is important if responses are, as seems to be intended, to be analysed principally if not solely in terms of replies to these questions. </w:t>
      </w:r>
    </w:p>
    <w:p w14:paraId="59C31E1F" w14:textId="77777777" w:rsidR="007D5D5C" w:rsidRDefault="007D5D5C" w:rsidP="007D5D5C">
      <w:pPr>
        <w:widowControl w:val="0"/>
        <w:tabs>
          <w:tab w:val="left" w:pos="220"/>
          <w:tab w:val="left" w:pos="720"/>
        </w:tabs>
        <w:autoSpaceDE w:val="0"/>
        <w:autoSpaceDN w:val="0"/>
        <w:adjustRightInd w:val="0"/>
        <w:spacing w:after="0" w:line="360" w:lineRule="auto"/>
        <w:jc w:val="both"/>
        <w:rPr>
          <w:bCs/>
        </w:rPr>
      </w:pPr>
    </w:p>
    <w:p w14:paraId="2D6769D3" w14:textId="77777777" w:rsidR="007D5D5C" w:rsidRDefault="007D5D5C" w:rsidP="007D5D5C">
      <w:pPr>
        <w:widowControl w:val="0"/>
        <w:tabs>
          <w:tab w:val="left" w:pos="220"/>
          <w:tab w:val="left" w:pos="720"/>
        </w:tabs>
        <w:autoSpaceDE w:val="0"/>
        <w:autoSpaceDN w:val="0"/>
        <w:adjustRightInd w:val="0"/>
        <w:spacing w:after="0" w:line="360" w:lineRule="auto"/>
        <w:jc w:val="both"/>
        <w:rPr>
          <w:bCs/>
        </w:rPr>
      </w:pPr>
      <w:r>
        <w:rPr>
          <w:bCs/>
        </w:rPr>
        <w:t>14. The sections asking for reasons to be given for answers seem unlikely to form an adequate corrective to questions whose design means they cannot provide relevant or reliable data.  It is also unclear how these are to be factored in systematically to the analysis of responses to the questions.</w:t>
      </w:r>
    </w:p>
    <w:p w14:paraId="73537FF8" w14:textId="77777777" w:rsidR="007D5D5C" w:rsidRDefault="007D5D5C" w:rsidP="007D5D5C">
      <w:pPr>
        <w:widowControl w:val="0"/>
        <w:tabs>
          <w:tab w:val="left" w:pos="220"/>
          <w:tab w:val="left" w:pos="720"/>
        </w:tabs>
        <w:autoSpaceDE w:val="0"/>
        <w:autoSpaceDN w:val="0"/>
        <w:adjustRightInd w:val="0"/>
        <w:spacing w:after="0" w:line="360" w:lineRule="auto"/>
        <w:jc w:val="both"/>
        <w:rPr>
          <w:bCs/>
        </w:rPr>
      </w:pPr>
    </w:p>
    <w:p w14:paraId="65612F66" w14:textId="77777777" w:rsidR="007D5D5C" w:rsidRPr="007B532D" w:rsidRDefault="007D5D5C" w:rsidP="007D5D5C">
      <w:pPr>
        <w:widowControl w:val="0"/>
        <w:tabs>
          <w:tab w:val="left" w:pos="220"/>
          <w:tab w:val="left" w:pos="720"/>
        </w:tabs>
        <w:autoSpaceDE w:val="0"/>
        <w:autoSpaceDN w:val="0"/>
        <w:adjustRightInd w:val="0"/>
        <w:spacing w:after="0" w:line="360" w:lineRule="auto"/>
        <w:jc w:val="both"/>
        <w:rPr>
          <w:bCs/>
        </w:rPr>
      </w:pPr>
      <w:r>
        <w:rPr>
          <w:bCs/>
        </w:rPr>
        <w:t xml:space="preserve">15. Confusing consequences for the would-be respondent follow from the arrangement of the topics of the Green Paper, </w:t>
      </w:r>
      <w:r w:rsidRPr="00B50DC5">
        <w:rPr>
          <w:bCs/>
        </w:rPr>
        <w:t>‘</w:t>
      </w:r>
      <w:r w:rsidRPr="00B50DC5">
        <w:t>Public sector equality duty</w:t>
      </w:r>
      <w:r>
        <w:t>’ (Q 1</w:t>
      </w:r>
      <w:r w:rsidRPr="00B50DC5">
        <w:t xml:space="preserve">) </w:t>
      </w:r>
      <w:r>
        <w:t>overlaps</w:t>
      </w:r>
      <w:r w:rsidRPr="00B50DC5">
        <w:t xml:space="preserve"> with ‘</w:t>
      </w:r>
      <w:r w:rsidRPr="00B50DC5">
        <w:rPr>
          <w:bCs/>
        </w:rPr>
        <w:t>Social mobility and w</w:t>
      </w:r>
      <w:r>
        <w:rPr>
          <w:bCs/>
        </w:rPr>
        <w:t>idening participation‘</w:t>
      </w:r>
      <w:r>
        <w:t>(QQ 12, 13)</w:t>
      </w:r>
      <w:r>
        <w:rPr>
          <w:bCs/>
        </w:rPr>
        <w:t>. There appears to be some category-confusion between members of minorities identified in the Equality Act of 2010  and children of relatively poor families.  For both there is a case for encouraging wider participation and assisting social mobility through higher education, and the Green Paper acknowledges that there is an overlap, in its remarks on the:</w:t>
      </w:r>
    </w:p>
    <w:p w14:paraId="5C6441E1" w14:textId="77777777" w:rsidR="007D5D5C" w:rsidRDefault="007D5D5C" w:rsidP="007D5D5C">
      <w:pPr>
        <w:widowControl w:val="0"/>
        <w:tabs>
          <w:tab w:val="left" w:pos="220"/>
          <w:tab w:val="left" w:pos="720"/>
        </w:tabs>
        <w:autoSpaceDE w:val="0"/>
        <w:autoSpaceDN w:val="0"/>
        <w:adjustRightInd w:val="0"/>
        <w:spacing w:after="0" w:line="360" w:lineRule="auto"/>
        <w:jc w:val="both"/>
      </w:pPr>
      <w:r w:rsidRPr="000A7913">
        <w:rPr>
          <w:rFonts w:cs="Arial"/>
          <w:i/>
          <w:color w:val="000000"/>
          <w:szCs w:val="24"/>
        </w:rPr>
        <w:t xml:space="preserve">potential impacts of the policy changes on groups with protected characteristics of age, ethnicity, disability and gender and on the group of students from less advantaged </w:t>
      </w:r>
      <w:r w:rsidRPr="007B532D">
        <w:rPr>
          <w:rFonts w:cs="Arial"/>
          <w:color w:val="000000"/>
          <w:szCs w:val="24"/>
        </w:rPr>
        <w:lastRenderedPageBreak/>
        <w:t xml:space="preserve">Known </w:t>
      </w:r>
      <w:r>
        <w:rPr>
          <w:rFonts w:cs="Arial"/>
          <w:color w:val="000000"/>
          <w:szCs w:val="24"/>
        </w:rPr>
        <w:t>anomalies are not signalled. For example,</w:t>
      </w:r>
      <w:r w:rsidRPr="00321D31">
        <w:rPr>
          <w:rFonts w:cs="Arial"/>
          <w:color w:val="000000"/>
          <w:szCs w:val="24"/>
        </w:rPr>
        <w:t xml:space="preserve"> </w:t>
      </w:r>
      <w:r w:rsidRPr="004019FC">
        <w:t>the statistically disadvantaged group  in terms of possible gender discrimination in higher education admissions now appears to be white British males. Age is a protected characteristic and the collapse of part-time study numbers is an indicator that mature students are now disadvantaged</w:t>
      </w:r>
      <w:r>
        <w:t>.</w:t>
      </w:r>
    </w:p>
    <w:p w14:paraId="0D404F2D" w14:textId="77777777" w:rsidR="007D5D5C" w:rsidRPr="004019FC" w:rsidRDefault="007D5D5C" w:rsidP="007D5D5C">
      <w:pPr>
        <w:widowControl w:val="0"/>
        <w:tabs>
          <w:tab w:val="left" w:pos="220"/>
          <w:tab w:val="left" w:pos="720"/>
        </w:tabs>
        <w:autoSpaceDE w:val="0"/>
        <w:autoSpaceDN w:val="0"/>
        <w:adjustRightInd w:val="0"/>
        <w:spacing w:after="0" w:line="360" w:lineRule="auto"/>
        <w:jc w:val="both"/>
      </w:pPr>
    </w:p>
    <w:p w14:paraId="772A1D2D" w14:textId="77777777" w:rsidR="007D5D5C" w:rsidRDefault="007D5D5C" w:rsidP="007D5D5C">
      <w:pPr>
        <w:pStyle w:val="Default"/>
        <w:spacing w:line="360" w:lineRule="auto"/>
        <w:jc w:val="both"/>
        <w:rPr>
          <w:rFonts w:asciiTheme="minorHAnsi" w:hAnsiTheme="minorHAnsi"/>
          <w:bCs/>
        </w:rPr>
      </w:pPr>
      <w:r>
        <w:rPr>
          <w:rFonts w:asciiTheme="minorHAnsi" w:hAnsiTheme="minorHAnsi"/>
        </w:rPr>
        <w:t xml:space="preserve">16. </w:t>
      </w:r>
      <w:r w:rsidRPr="00823C30">
        <w:rPr>
          <w:rFonts w:asciiTheme="minorHAnsi" w:hAnsiTheme="minorHAnsi"/>
        </w:rPr>
        <w:t>There is a dearth of  detailed questions on some of the most significant proposed changes.  Questions 14-16 cover ‘</w:t>
      </w:r>
      <w:r w:rsidRPr="00823C30">
        <w:rPr>
          <w:rFonts w:asciiTheme="minorHAnsi" w:hAnsiTheme="minorHAnsi"/>
          <w:bCs/>
        </w:rPr>
        <w:t>Opening up the sector to new providers’</w:t>
      </w:r>
      <w:r w:rsidRPr="00823C30">
        <w:rPr>
          <w:rFonts w:asciiTheme="minorHAnsi" w:hAnsiTheme="minorHAnsi"/>
        </w:rPr>
        <w:t>, Question 17 ‘</w:t>
      </w:r>
      <w:r w:rsidRPr="00823C30">
        <w:rPr>
          <w:rFonts w:asciiTheme="minorHAnsi" w:hAnsiTheme="minorHAnsi"/>
          <w:bCs/>
        </w:rPr>
        <w:t xml:space="preserve">Provider exit and student protection’ concerns the problem of failing providers </w:t>
      </w:r>
      <w:r w:rsidRPr="00823C30">
        <w:rPr>
          <w:rFonts w:asciiTheme="minorHAnsi" w:hAnsiTheme="minorHAnsi"/>
        </w:rPr>
        <w:t>and Questions 18-23 (‘</w:t>
      </w:r>
      <w:r w:rsidRPr="00823C30">
        <w:rPr>
          <w:rFonts w:asciiTheme="minorHAnsi" w:hAnsiTheme="minorHAnsi"/>
          <w:bCs/>
        </w:rPr>
        <w:t>Simplifying the higher education architecture’) concern only the proposed Office for Students.</w:t>
      </w:r>
      <w:r>
        <w:rPr>
          <w:rFonts w:asciiTheme="minorHAnsi" w:hAnsiTheme="minorHAnsi"/>
          <w:bCs/>
        </w:rPr>
        <w:t xml:space="preserve"> </w:t>
      </w:r>
    </w:p>
    <w:p w14:paraId="25AE5184" w14:textId="77777777" w:rsidR="007D5D5C" w:rsidRDefault="007D5D5C" w:rsidP="007D5D5C">
      <w:pPr>
        <w:pStyle w:val="Default"/>
        <w:spacing w:line="360" w:lineRule="auto"/>
        <w:jc w:val="both"/>
        <w:rPr>
          <w:rFonts w:asciiTheme="minorHAnsi" w:hAnsiTheme="minorHAnsi"/>
          <w:bCs/>
        </w:rPr>
      </w:pPr>
    </w:p>
    <w:p w14:paraId="7FB92AC1" w14:textId="77777777" w:rsidR="00175798" w:rsidRDefault="00175798" w:rsidP="00175798">
      <w:pPr>
        <w:pStyle w:val="NormalWeb"/>
        <w:spacing w:line="360" w:lineRule="auto"/>
        <w:rPr>
          <w:rFonts w:asciiTheme="minorHAnsi" w:hAnsiTheme="minorHAnsi" w:cs="Arial"/>
          <w:b/>
          <w:color w:val="000000"/>
          <w:sz w:val="24"/>
          <w:szCs w:val="24"/>
        </w:rPr>
      </w:pPr>
      <w:r>
        <w:rPr>
          <w:rFonts w:asciiTheme="minorHAnsi" w:hAnsiTheme="minorHAnsi" w:cs="Arial"/>
          <w:b/>
          <w:color w:val="000000"/>
          <w:sz w:val="24"/>
          <w:szCs w:val="24"/>
        </w:rPr>
        <w:t>IV  The needs of taught graduate and research students are not considered</w:t>
      </w:r>
    </w:p>
    <w:p w14:paraId="66071609" w14:textId="629C47D6" w:rsidR="009D5840" w:rsidRPr="009D5840" w:rsidRDefault="009D5840" w:rsidP="007D5D5C">
      <w:pPr>
        <w:spacing w:line="360" w:lineRule="auto"/>
        <w:jc w:val="both"/>
        <w:rPr>
          <w:bCs/>
          <w:u w:val="single"/>
        </w:rPr>
      </w:pPr>
      <w:r w:rsidRPr="009D5840">
        <w:rPr>
          <w:bCs/>
          <w:u w:val="single"/>
        </w:rPr>
        <w:t>The needs of graduate and especially research students are largely ignored</w:t>
      </w:r>
    </w:p>
    <w:p w14:paraId="0445D70B" w14:textId="77777777" w:rsidR="007D5D5C" w:rsidRPr="00703C5C" w:rsidRDefault="007D5D5C" w:rsidP="007D5D5C">
      <w:pPr>
        <w:spacing w:line="360" w:lineRule="auto"/>
        <w:jc w:val="both"/>
        <w:rPr>
          <w:szCs w:val="24"/>
        </w:rPr>
      </w:pPr>
      <w:r>
        <w:rPr>
          <w:szCs w:val="24"/>
        </w:rPr>
        <w:t xml:space="preserve">17. </w:t>
      </w:r>
      <w:r w:rsidRPr="00703C5C">
        <w:rPr>
          <w:szCs w:val="24"/>
        </w:rPr>
        <w:t xml:space="preserve">Research was treated in 2011 as of secondary importance in comparison with undergraduate student provision, with a ‘strategy for research and innovation’ to be published later in the year.  This duly appeared in December 2011 under the title: </w:t>
      </w:r>
      <w:r w:rsidRPr="00703C5C">
        <w:rPr>
          <w:i/>
          <w:szCs w:val="24"/>
        </w:rPr>
        <w:t>Innovation and Research Strategy for Growth.</w:t>
      </w:r>
      <w:r w:rsidRPr="00703C5C">
        <w:rPr>
          <w:rStyle w:val="FootnoteReference"/>
          <w:szCs w:val="24"/>
        </w:rPr>
        <w:footnoteReference w:id="11"/>
      </w:r>
      <w:r w:rsidRPr="00703C5C">
        <w:rPr>
          <w:i/>
          <w:szCs w:val="24"/>
        </w:rPr>
        <w:t xml:space="preserve"> </w:t>
      </w:r>
      <w:r w:rsidRPr="00703C5C">
        <w:rPr>
          <w:szCs w:val="24"/>
        </w:rPr>
        <w:t>It had almost nothing to say about research students and addressed only in passing the problem that post-doctoral and early-career researchers face immense difficulties in establishing themselves in permanent academic posts.  Nothing was said about the career-structure problem which means that young would-be academics are thus forced into research-only tracks, helping to create the very conflict of priority between teaching and research the Green paper repeatedly claims and deplores.</w:t>
      </w:r>
    </w:p>
    <w:p w14:paraId="641657E3" w14:textId="356DD563" w:rsidR="007D5D5C" w:rsidRPr="00175798" w:rsidRDefault="007D5D5C" w:rsidP="00175798">
      <w:pPr>
        <w:pStyle w:val="NormalWeb"/>
        <w:spacing w:line="360" w:lineRule="auto"/>
        <w:jc w:val="both"/>
        <w:rPr>
          <w:sz w:val="24"/>
          <w:szCs w:val="24"/>
        </w:rPr>
      </w:pPr>
      <w:r>
        <w:rPr>
          <w:rFonts w:asciiTheme="minorHAnsi" w:hAnsiTheme="minorHAnsi"/>
          <w:sz w:val="24"/>
          <w:szCs w:val="24"/>
        </w:rPr>
        <w:lastRenderedPageBreak/>
        <w:t xml:space="preserve">18. </w:t>
      </w:r>
      <w:r w:rsidRPr="00703C5C">
        <w:rPr>
          <w:rFonts w:asciiTheme="minorHAnsi" w:hAnsiTheme="minorHAnsi"/>
          <w:sz w:val="24"/>
          <w:szCs w:val="24"/>
        </w:rPr>
        <w:t>The Green Paper similarly leaves the question of provision for postgraduate students to await future work. It speaks in particular of the then forcoming Nurse Report, later published as</w:t>
      </w:r>
      <w:r w:rsidRPr="00703C5C">
        <w:rPr>
          <w:rFonts w:asciiTheme="minorHAnsi" w:hAnsiTheme="minorHAnsi"/>
          <w:b/>
          <w:bCs/>
          <w:color w:val="004F91"/>
          <w:sz w:val="24"/>
          <w:szCs w:val="24"/>
        </w:rPr>
        <w:t xml:space="preserve"> </w:t>
      </w:r>
      <w:r w:rsidRPr="00703C5C">
        <w:rPr>
          <w:rFonts w:asciiTheme="minorHAnsi" w:hAnsiTheme="minorHAnsi"/>
          <w:bCs/>
          <w:i/>
          <w:sz w:val="24"/>
          <w:szCs w:val="24"/>
        </w:rPr>
        <w:t xml:space="preserve">Ensuring a successful UK research endeavour </w:t>
      </w:r>
      <w:r w:rsidRPr="00703C5C">
        <w:rPr>
          <w:rFonts w:asciiTheme="minorHAnsi" w:hAnsiTheme="minorHAnsi"/>
          <w:i/>
          <w:sz w:val="24"/>
          <w:szCs w:val="24"/>
        </w:rPr>
        <w:t xml:space="preserve">: </w:t>
      </w:r>
      <w:r w:rsidRPr="00703C5C">
        <w:rPr>
          <w:rFonts w:asciiTheme="minorHAnsi" w:hAnsiTheme="minorHAnsi"/>
          <w:bCs/>
          <w:i/>
          <w:sz w:val="24"/>
          <w:szCs w:val="24"/>
        </w:rPr>
        <w:t>A Review of the UK Research Councils.</w:t>
      </w:r>
      <w:r w:rsidRPr="00703C5C">
        <w:rPr>
          <w:rStyle w:val="FootnoteReference"/>
          <w:rFonts w:asciiTheme="minorHAnsi" w:hAnsiTheme="minorHAnsi"/>
          <w:sz w:val="24"/>
          <w:szCs w:val="24"/>
        </w:rPr>
        <w:footnoteReference w:id="12"/>
      </w:r>
      <w:r w:rsidRPr="00703C5C">
        <w:rPr>
          <w:rFonts w:asciiTheme="minorHAnsi" w:hAnsiTheme="minorHAnsi"/>
          <w:bCs/>
          <w:i/>
          <w:sz w:val="24"/>
          <w:szCs w:val="24"/>
        </w:rPr>
        <w:t xml:space="preserve"> </w:t>
      </w:r>
      <w:r w:rsidRPr="00703C5C">
        <w:rPr>
          <w:rFonts w:asciiTheme="minorHAnsi" w:hAnsiTheme="minorHAnsi"/>
          <w:bCs/>
          <w:sz w:val="24"/>
          <w:szCs w:val="24"/>
        </w:rPr>
        <w:t>This concentrated, as was its brief, on questions of funding-distribution, namely whether the existing discipline-group Research Councils should be amalgamated and whether a higher-level body should be created to oversee their planning.  It proposed a controversial new body at ministerial level.  Its only concern about postgraduate students is that the ‘doctoral training programmes’ promoted by the  2011 White Paper are operating perversely to ‘</w:t>
      </w:r>
      <w:r w:rsidRPr="00703C5C">
        <w:rPr>
          <w:rFonts w:asciiTheme="minorHAnsi" w:hAnsiTheme="minorHAnsi"/>
          <w:sz w:val="24"/>
          <w:szCs w:val="24"/>
        </w:rPr>
        <w:t>prevent graduate students being supervised by quality researchers who ar</w:t>
      </w:r>
      <w:r>
        <w:rPr>
          <w:rFonts w:asciiTheme="minorHAnsi" w:hAnsiTheme="minorHAnsi"/>
          <w:sz w:val="24"/>
          <w:szCs w:val="24"/>
        </w:rPr>
        <w:t>e not part of such programmes’.</w:t>
      </w:r>
    </w:p>
    <w:p w14:paraId="3D50F81A" w14:textId="2B5AA313" w:rsidR="009D5840" w:rsidRPr="00175798" w:rsidRDefault="00175798" w:rsidP="00175798">
      <w:pPr>
        <w:pStyle w:val="NormalWeb"/>
        <w:spacing w:line="360" w:lineRule="auto"/>
        <w:rPr>
          <w:rFonts w:asciiTheme="minorHAnsi" w:hAnsiTheme="minorHAnsi" w:cs="Arial"/>
          <w:b/>
          <w:color w:val="000000"/>
          <w:sz w:val="24"/>
          <w:szCs w:val="24"/>
        </w:rPr>
      </w:pPr>
      <w:r>
        <w:rPr>
          <w:rFonts w:asciiTheme="minorHAnsi" w:hAnsiTheme="minorHAnsi" w:cs="Arial"/>
          <w:b/>
          <w:color w:val="000000"/>
          <w:sz w:val="24"/>
          <w:szCs w:val="24"/>
        </w:rPr>
        <w:t>V  Proposals for changed s</w:t>
      </w:r>
      <w:r w:rsidRPr="00C6795E">
        <w:rPr>
          <w:rFonts w:asciiTheme="minorHAnsi" w:hAnsiTheme="minorHAnsi" w:cs="Arial"/>
          <w:b/>
          <w:color w:val="000000"/>
          <w:sz w:val="24"/>
          <w:szCs w:val="24"/>
        </w:rPr>
        <w:t xml:space="preserve">ector </w:t>
      </w:r>
      <w:r>
        <w:rPr>
          <w:rFonts w:asciiTheme="minorHAnsi" w:hAnsiTheme="minorHAnsi" w:cs="Arial"/>
          <w:b/>
          <w:color w:val="000000"/>
          <w:sz w:val="24"/>
          <w:szCs w:val="24"/>
        </w:rPr>
        <w:t>‘</w:t>
      </w:r>
      <w:r w:rsidRPr="00C6795E">
        <w:rPr>
          <w:rFonts w:asciiTheme="minorHAnsi" w:hAnsiTheme="minorHAnsi" w:cs="Arial"/>
          <w:b/>
          <w:color w:val="000000"/>
          <w:sz w:val="24"/>
          <w:szCs w:val="24"/>
        </w:rPr>
        <w:t>regulation</w:t>
      </w:r>
      <w:r>
        <w:rPr>
          <w:rFonts w:asciiTheme="minorHAnsi" w:hAnsiTheme="minorHAnsi" w:cs="Arial"/>
          <w:b/>
          <w:color w:val="000000"/>
          <w:sz w:val="24"/>
          <w:szCs w:val="24"/>
        </w:rPr>
        <w:t>’ and privatisation of publicly-funded providers are not thought through</w:t>
      </w:r>
    </w:p>
    <w:p w14:paraId="664AE1C6" w14:textId="78BB5469" w:rsidR="009D5840" w:rsidRPr="009D5840" w:rsidRDefault="009D5840" w:rsidP="007D5D5C">
      <w:pPr>
        <w:widowControl w:val="0"/>
        <w:autoSpaceDE w:val="0"/>
        <w:autoSpaceDN w:val="0"/>
        <w:adjustRightInd w:val="0"/>
        <w:spacing w:after="0" w:line="360" w:lineRule="auto"/>
        <w:jc w:val="both"/>
        <w:rPr>
          <w:rFonts w:cs="Arial"/>
          <w:i/>
          <w:szCs w:val="24"/>
          <w:u w:val="single"/>
        </w:rPr>
      </w:pPr>
      <w:r w:rsidRPr="009D5840">
        <w:rPr>
          <w:rFonts w:cs="Arial"/>
          <w:i/>
          <w:szCs w:val="24"/>
          <w:u w:val="single"/>
        </w:rPr>
        <w:t xml:space="preserve">The most </w:t>
      </w:r>
      <w:r>
        <w:rPr>
          <w:rFonts w:cs="Arial"/>
          <w:i/>
          <w:szCs w:val="24"/>
          <w:u w:val="single"/>
        </w:rPr>
        <w:t>significant</w:t>
      </w:r>
      <w:r w:rsidRPr="009D5840">
        <w:rPr>
          <w:rFonts w:cs="Arial"/>
          <w:i/>
          <w:szCs w:val="24"/>
          <w:u w:val="single"/>
        </w:rPr>
        <w:t xml:space="preserve"> continuance of policy proposals from 2011 is not signalled or provided with a sufficient set of comnsultaiton questions</w:t>
      </w:r>
    </w:p>
    <w:p w14:paraId="6E03698E" w14:textId="77777777" w:rsidR="007D5D5C" w:rsidRDefault="007D5D5C" w:rsidP="007D5D5C">
      <w:pPr>
        <w:widowControl w:val="0"/>
        <w:autoSpaceDE w:val="0"/>
        <w:autoSpaceDN w:val="0"/>
        <w:adjustRightInd w:val="0"/>
        <w:spacing w:after="0" w:line="360" w:lineRule="auto"/>
        <w:jc w:val="both"/>
        <w:rPr>
          <w:rFonts w:cs="Arial"/>
          <w:color w:val="000000"/>
          <w:szCs w:val="24"/>
        </w:rPr>
      </w:pPr>
    </w:p>
    <w:p w14:paraId="13F565BF" w14:textId="77777777" w:rsidR="007D5D5C" w:rsidRPr="007B12ED" w:rsidRDefault="007D5D5C" w:rsidP="007D5D5C">
      <w:pPr>
        <w:widowControl w:val="0"/>
        <w:autoSpaceDE w:val="0"/>
        <w:autoSpaceDN w:val="0"/>
        <w:adjustRightInd w:val="0"/>
        <w:spacing w:after="0" w:line="360" w:lineRule="auto"/>
        <w:jc w:val="both"/>
        <w:rPr>
          <w:rFonts w:cs="Times"/>
          <w:color w:val="0B0B0B"/>
          <w:szCs w:val="24"/>
        </w:rPr>
      </w:pPr>
      <w:r>
        <w:rPr>
          <w:bCs/>
          <w:szCs w:val="24"/>
        </w:rPr>
        <w:t>19. In the Technical Consultation which took place from August 2011, BIS requeste</w:t>
      </w:r>
      <w:r w:rsidRPr="007B12ED">
        <w:rPr>
          <w:bCs/>
          <w:szCs w:val="24"/>
        </w:rPr>
        <w:t>d views on ‘</w:t>
      </w:r>
      <w:r w:rsidRPr="007B12ED">
        <w:rPr>
          <w:rFonts w:cs="Times"/>
          <w:color w:val="0B0B0B"/>
          <w:szCs w:val="24"/>
        </w:rPr>
        <w:t>how the new regulatory system should be run’, including:</w:t>
      </w:r>
    </w:p>
    <w:p w14:paraId="484D1F49" w14:textId="77777777" w:rsidR="007D5D5C" w:rsidRPr="007B12ED" w:rsidRDefault="007D5D5C" w:rsidP="007D5D5C">
      <w:pPr>
        <w:widowControl w:val="0"/>
        <w:numPr>
          <w:ilvl w:val="0"/>
          <w:numId w:val="1"/>
        </w:numPr>
        <w:tabs>
          <w:tab w:val="left" w:pos="220"/>
          <w:tab w:val="left" w:pos="720"/>
        </w:tabs>
        <w:autoSpaceDE w:val="0"/>
        <w:autoSpaceDN w:val="0"/>
        <w:adjustRightInd w:val="0"/>
        <w:spacing w:after="0" w:line="360" w:lineRule="auto"/>
        <w:ind w:hanging="720"/>
        <w:rPr>
          <w:rFonts w:cs="Times"/>
          <w:i/>
          <w:color w:val="0B0B0B"/>
          <w:szCs w:val="24"/>
        </w:rPr>
      </w:pPr>
      <w:r w:rsidRPr="007B12ED">
        <w:rPr>
          <w:rFonts w:cs="Times"/>
          <w:i/>
          <w:color w:val="0B0B0B"/>
          <w:szCs w:val="24"/>
        </w:rPr>
        <w:t>the introduction of an independent lead regulator</w:t>
      </w:r>
    </w:p>
    <w:p w14:paraId="51B6179F" w14:textId="77777777" w:rsidR="007D5D5C" w:rsidRPr="007B12ED" w:rsidRDefault="007D5D5C" w:rsidP="007D5D5C">
      <w:pPr>
        <w:widowControl w:val="0"/>
        <w:numPr>
          <w:ilvl w:val="0"/>
          <w:numId w:val="1"/>
        </w:numPr>
        <w:tabs>
          <w:tab w:val="left" w:pos="220"/>
          <w:tab w:val="left" w:pos="720"/>
        </w:tabs>
        <w:autoSpaceDE w:val="0"/>
        <w:autoSpaceDN w:val="0"/>
        <w:adjustRightInd w:val="0"/>
        <w:spacing w:after="0" w:line="360" w:lineRule="auto"/>
        <w:ind w:hanging="720"/>
        <w:rPr>
          <w:rFonts w:cs="Times"/>
          <w:i/>
          <w:color w:val="0B0B0B"/>
          <w:szCs w:val="24"/>
        </w:rPr>
      </w:pPr>
      <w:r w:rsidRPr="007B12ED">
        <w:rPr>
          <w:rFonts w:cs="Times"/>
          <w:i/>
          <w:color w:val="0B0B0B"/>
          <w:szCs w:val="24"/>
        </w:rPr>
        <w:t>a single regulatory framework for provider designation for student support and HEFCE teaching grant</w:t>
      </w:r>
    </w:p>
    <w:p w14:paraId="51B52260" w14:textId="77777777" w:rsidR="007D5D5C" w:rsidRPr="007B12ED" w:rsidRDefault="007D5D5C" w:rsidP="007D5D5C">
      <w:pPr>
        <w:widowControl w:val="0"/>
        <w:numPr>
          <w:ilvl w:val="0"/>
          <w:numId w:val="1"/>
        </w:numPr>
        <w:tabs>
          <w:tab w:val="left" w:pos="220"/>
          <w:tab w:val="left" w:pos="720"/>
        </w:tabs>
        <w:autoSpaceDE w:val="0"/>
        <w:autoSpaceDN w:val="0"/>
        <w:adjustRightInd w:val="0"/>
        <w:spacing w:after="0" w:line="360" w:lineRule="auto"/>
        <w:ind w:hanging="720"/>
        <w:rPr>
          <w:rFonts w:cs="Times"/>
          <w:i/>
          <w:color w:val="0B0B0B"/>
          <w:szCs w:val="24"/>
        </w:rPr>
      </w:pPr>
      <w:r w:rsidRPr="007B12ED">
        <w:rPr>
          <w:rFonts w:cs="Times"/>
          <w:i/>
          <w:color w:val="0B0B0B"/>
          <w:szCs w:val="24"/>
        </w:rPr>
        <w:t>the adoption of a single gateway for entry to the higher education sector</w:t>
      </w:r>
    </w:p>
    <w:p w14:paraId="2CF4A121" w14:textId="77777777" w:rsidR="007D5D5C" w:rsidRDefault="007D5D5C" w:rsidP="007D5D5C">
      <w:pPr>
        <w:widowControl w:val="0"/>
        <w:numPr>
          <w:ilvl w:val="0"/>
          <w:numId w:val="1"/>
        </w:numPr>
        <w:tabs>
          <w:tab w:val="left" w:pos="220"/>
          <w:tab w:val="left" w:pos="720"/>
        </w:tabs>
        <w:autoSpaceDE w:val="0"/>
        <w:autoSpaceDN w:val="0"/>
        <w:adjustRightInd w:val="0"/>
        <w:spacing w:after="0" w:line="360" w:lineRule="auto"/>
        <w:ind w:hanging="720"/>
        <w:rPr>
          <w:rFonts w:cs="Times"/>
          <w:i/>
          <w:color w:val="0B0B0B"/>
          <w:szCs w:val="24"/>
        </w:rPr>
      </w:pPr>
      <w:r w:rsidRPr="007B12ED">
        <w:rPr>
          <w:rFonts w:cs="Times"/>
          <w:i/>
          <w:color w:val="0B0B0B"/>
          <w:szCs w:val="24"/>
        </w:rPr>
        <w:t>reforms to Degree Awarding Powers (DAPs) and University Title (UT) criteria</w:t>
      </w:r>
    </w:p>
    <w:p w14:paraId="3FD64A2D" w14:textId="77777777" w:rsidR="007D5D5C" w:rsidRDefault="007D5D5C" w:rsidP="007D5D5C">
      <w:pPr>
        <w:widowControl w:val="0"/>
        <w:numPr>
          <w:ilvl w:val="0"/>
          <w:numId w:val="1"/>
        </w:numPr>
        <w:tabs>
          <w:tab w:val="left" w:pos="220"/>
          <w:tab w:val="left" w:pos="720"/>
        </w:tabs>
        <w:autoSpaceDE w:val="0"/>
        <w:autoSpaceDN w:val="0"/>
        <w:adjustRightInd w:val="0"/>
        <w:spacing w:after="0" w:line="360" w:lineRule="auto"/>
        <w:ind w:hanging="720"/>
        <w:rPr>
          <w:rFonts w:cs="Times"/>
          <w:i/>
          <w:color w:val="0B0B0B"/>
          <w:szCs w:val="24"/>
        </w:rPr>
      </w:pPr>
      <w:r w:rsidRPr="007B12ED">
        <w:rPr>
          <w:rFonts w:cs="Times"/>
          <w:i/>
          <w:color w:val="0B0B0B"/>
          <w:szCs w:val="24"/>
        </w:rPr>
        <w:t>simplifying the process for changing corporate status</w:t>
      </w:r>
    </w:p>
    <w:p w14:paraId="1AE87C5D"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7F826CAD" w14:textId="3772ECDA" w:rsidR="00E06DD9" w:rsidRPr="00E06DD9" w:rsidRDefault="007D5D5C" w:rsidP="00E06DD9">
      <w:pPr>
        <w:widowControl w:val="0"/>
        <w:tabs>
          <w:tab w:val="left" w:pos="220"/>
          <w:tab w:val="left" w:pos="720"/>
        </w:tabs>
        <w:autoSpaceDE w:val="0"/>
        <w:autoSpaceDN w:val="0"/>
        <w:adjustRightInd w:val="0"/>
        <w:spacing w:after="0" w:line="360" w:lineRule="auto"/>
        <w:jc w:val="both"/>
        <w:rPr>
          <w:rFonts w:cs="Times"/>
          <w:color w:val="0B0B0B"/>
          <w:szCs w:val="24"/>
        </w:rPr>
      </w:pPr>
      <w:r>
        <w:rPr>
          <w:rFonts w:cs="Times"/>
          <w:color w:val="0B0B0B"/>
          <w:szCs w:val="24"/>
        </w:rPr>
        <w:t>20. The G</w:t>
      </w:r>
      <w:r w:rsidR="00C262EA">
        <w:rPr>
          <w:rFonts w:cs="Times"/>
          <w:color w:val="0B0B0B"/>
          <w:szCs w:val="24"/>
        </w:rPr>
        <w:t>overnment Response to the Technical C</w:t>
      </w:r>
      <w:r>
        <w:rPr>
          <w:rFonts w:cs="Times"/>
          <w:color w:val="0B0B0B"/>
          <w:szCs w:val="24"/>
        </w:rPr>
        <w:t>onsultation</w:t>
      </w:r>
      <w:r w:rsidR="00C262EA">
        <w:rPr>
          <w:rFonts w:cs="Times"/>
          <w:color w:val="0B0B0B"/>
          <w:szCs w:val="24"/>
        </w:rPr>
        <w:t xml:space="preserve"> of 2011</w:t>
      </w:r>
      <w:r>
        <w:rPr>
          <w:rFonts w:cs="Times"/>
          <w:color w:val="0B0B0B"/>
          <w:szCs w:val="24"/>
        </w:rPr>
        <w:t xml:space="preserve"> was largely silent on these</w:t>
      </w:r>
      <w:r w:rsidR="00E06DD9">
        <w:rPr>
          <w:rFonts w:cs="Times"/>
          <w:color w:val="0B0B0B"/>
          <w:szCs w:val="24"/>
        </w:rPr>
        <w:t xml:space="preserve"> points.  </w:t>
      </w:r>
      <w:r>
        <w:rPr>
          <w:rFonts w:cs="Times"/>
          <w:color w:val="0B0B0B"/>
          <w:szCs w:val="24"/>
        </w:rPr>
        <w:t xml:space="preserve">Nevertheless, some of these topics are included in the </w:t>
      </w:r>
      <w:r>
        <w:rPr>
          <w:rFonts w:cs="Times"/>
          <w:color w:val="0B0B0B"/>
          <w:szCs w:val="24"/>
        </w:rPr>
        <w:lastRenderedPageBreak/>
        <w:t>present Green Paper th</w:t>
      </w:r>
      <w:r w:rsidR="00E06DD9">
        <w:rPr>
          <w:rFonts w:cs="Times"/>
          <w:color w:val="0B0B0B"/>
          <w:szCs w:val="24"/>
        </w:rPr>
        <w:t>ough not signalled by the Green Paper’s</w:t>
      </w:r>
      <w:r w:rsidR="00C262EA">
        <w:rPr>
          <w:rFonts w:cs="Times"/>
          <w:color w:val="0B0B0B"/>
          <w:szCs w:val="24"/>
        </w:rPr>
        <w:t xml:space="preserve"> title or adequately covered in the</w:t>
      </w:r>
      <w:r w:rsidR="00E06DD9">
        <w:rPr>
          <w:rFonts w:cs="Times"/>
          <w:color w:val="0B0B0B"/>
          <w:szCs w:val="24"/>
        </w:rPr>
        <w:t xml:space="preserve"> range of</w:t>
      </w:r>
      <w:r w:rsidR="00C262EA">
        <w:rPr>
          <w:rFonts w:cs="Times"/>
          <w:color w:val="0B0B0B"/>
          <w:szCs w:val="24"/>
        </w:rPr>
        <w:t xml:space="preserve"> consultation questions</w:t>
      </w:r>
      <w:r w:rsidR="00E06DD9">
        <w:rPr>
          <w:rFonts w:cs="Times"/>
          <w:color w:val="0B0B0B"/>
          <w:szCs w:val="24"/>
        </w:rPr>
        <w:t xml:space="preserve"> provided</w:t>
      </w:r>
      <w:r w:rsidR="00C262EA">
        <w:rPr>
          <w:rFonts w:cs="Times"/>
          <w:color w:val="0B0B0B"/>
          <w:szCs w:val="24"/>
        </w:rPr>
        <w:t>.</w:t>
      </w:r>
      <w:r w:rsidR="00E06DD9">
        <w:rPr>
          <w:rFonts w:cs="Times"/>
          <w:color w:val="0B0B0B"/>
          <w:szCs w:val="24"/>
        </w:rPr>
        <w:t xml:space="preserve"> </w:t>
      </w:r>
      <w:r>
        <w:rPr>
          <w:rFonts w:cs="Times"/>
          <w:color w:val="0B0B0B"/>
          <w:szCs w:val="24"/>
        </w:rPr>
        <w:t xml:space="preserve">Nor is it spelt out in the Green Paper how these objectives have been addressed in the intervening years.  There have, however, been significant developments and the underlying question what does and what does not require primary legislation should </w:t>
      </w:r>
      <w:r w:rsidR="00C262EA">
        <w:rPr>
          <w:rFonts w:cs="Times"/>
          <w:color w:val="0B0B0B"/>
          <w:szCs w:val="24"/>
        </w:rPr>
        <w:t xml:space="preserve">now </w:t>
      </w:r>
      <w:r>
        <w:rPr>
          <w:rFonts w:cs="Times"/>
          <w:color w:val="0B0B0B"/>
          <w:szCs w:val="24"/>
        </w:rPr>
        <w:t>be addressed.</w:t>
      </w:r>
      <w:r w:rsidR="00E06DD9">
        <w:rPr>
          <w:rFonts w:cs="Times"/>
          <w:color w:val="0B0B0B"/>
          <w:szCs w:val="24"/>
        </w:rPr>
        <w:t xml:space="preserve"> So t</w:t>
      </w:r>
      <w:r w:rsidR="00E06DD9" w:rsidRPr="00E06DD9">
        <w:rPr>
          <w:rFonts w:cs="Times"/>
          <w:color w:val="0B0B0B"/>
          <w:szCs w:val="24"/>
        </w:rPr>
        <w:t>hese headings are  considered in what follows in relation to the reappearance in the Green Paper</w:t>
      </w:r>
      <w:r w:rsidR="00E06DD9">
        <w:rPr>
          <w:rFonts w:cs="Times"/>
          <w:color w:val="0B0B0B"/>
          <w:szCs w:val="24"/>
        </w:rPr>
        <w:t xml:space="preserve"> of the topics they signal.</w:t>
      </w:r>
    </w:p>
    <w:p w14:paraId="305BEB64" w14:textId="77777777" w:rsidR="007D5D5C" w:rsidRDefault="007D5D5C" w:rsidP="007D5D5C">
      <w:pPr>
        <w:widowControl w:val="0"/>
        <w:tabs>
          <w:tab w:val="left" w:pos="220"/>
          <w:tab w:val="left" w:pos="720"/>
        </w:tabs>
        <w:autoSpaceDE w:val="0"/>
        <w:autoSpaceDN w:val="0"/>
        <w:adjustRightInd w:val="0"/>
        <w:spacing w:after="0" w:line="360" w:lineRule="auto"/>
        <w:rPr>
          <w:rFonts w:cs="Times"/>
          <w:color w:val="0B0B0B"/>
          <w:szCs w:val="24"/>
        </w:rPr>
      </w:pPr>
    </w:p>
    <w:p w14:paraId="5162346B" w14:textId="77777777" w:rsidR="007D5D5C" w:rsidRPr="002B03E6" w:rsidRDefault="007D5D5C" w:rsidP="007D5D5C">
      <w:pPr>
        <w:widowControl w:val="0"/>
        <w:tabs>
          <w:tab w:val="left" w:pos="220"/>
          <w:tab w:val="left" w:pos="720"/>
        </w:tabs>
        <w:autoSpaceDE w:val="0"/>
        <w:autoSpaceDN w:val="0"/>
        <w:adjustRightInd w:val="0"/>
        <w:spacing w:after="0" w:line="360" w:lineRule="auto"/>
        <w:rPr>
          <w:rFonts w:cs="Times"/>
          <w:i/>
          <w:color w:val="0B0B0B"/>
          <w:szCs w:val="24"/>
          <w:u w:val="single"/>
        </w:rPr>
      </w:pPr>
      <w:r w:rsidRPr="002B03E6">
        <w:rPr>
          <w:rFonts w:cs="Times"/>
          <w:i/>
          <w:color w:val="0B0B0B"/>
          <w:szCs w:val="24"/>
          <w:u w:val="single"/>
        </w:rPr>
        <w:t xml:space="preserve">i. </w:t>
      </w:r>
      <w:r>
        <w:rPr>
          <w:rFonts w:cs="Times"/>
          <w:i/>
          <w:color w:val="0B0B0B"/>
          <w:szCs w:val="24"/>
          <w:u w:val="single"/>
        </w:rPr>
        <w:t>‘</w:t>
      </w:r>
      <w:r w:rsidRPr="002B03E6">
        <w:rPr>
          <w:rFonts w:cs="Times"/>
          <w:i/>
          <w:color w:val="0B0B0B"/>
          <w:szCs w:val="24"/>
          <w:u w:val="single"/>
        </w:rPr>
        <w:t>The introduction of an independent lead regulator</w:t>
      </w:r>
      <w:r>
        <w:rPr>
          <w:rFonts w:cs="Times"/>
          <w:i/>
          <w:color w:val="0B0B0B"/>
          <w:szCs w:val="24"/>
          <w:u w:val="single"/>
        </w:rPr>
        <w:t>’</w:t>
      </w:r>
    </w:p>
    <w:p w14:paraId="3F81C596" w14:textId="77777777" w:rsidR="007D5D5C" w:rsidRDefault="007D5D5C" w:rsidP="007D5D5C">
      <w:pPr>
        <w:widowControl w:val="0"/>
        <w:tabs>
          <w:tab w:val="left" w:pos="220"/>
          <w:tab w:val="left" w:pos="720"/>
        </w:tabs>
        <w:autoSpaceDE w:val="0"/>
        <w:autoSpaceDN w:val="0"/>
        <w:adjustRightInd w:val="0"/>
        <w:spacing w:after="0" w:line="360" w:lineRule="auto"/>
        <w:rPr>
          <w:rFonts w:cs="Times"/>
          <w:i/>
          <w:color w:val="0B0B0B"/>
          <w:szCs w:val="24"/>
        </w:rPr>
      </w:pPr>
    </w:p>
    <w:p w14:paraId="7085E7BA" w14:textId="15285C14" w:rsidR="007D5D5C" w:rsidRPr="00434A10" w:rsidRDefault="007D5D5C" w:rsidP="007D5D5C">
      <w:pPr>
        <w:widowControl w:val="0"/>
        <w:tabs>
          <w:tab w:val="left" w:pos="220"/>
          <w:tab w:val="left" w:pos="720"/>
        </w:tabs>
        <w:autoSpaceDE w:val="0"/>
        <w:autoSpaceDN w:val="0"/>
        <w:adjustRightInd w:val="0"/>
        <w:spacing w:after="0" w:line="360" w:lineRule="auto"/>
        <w:jc w:val="both"/>
        <w:rPr>
          <w:rFonts w:cs="Arial"/>
          <w:i/>
          <w:szCs w:val="24"/>
          <w:lang w:val="en-GB" w:eastAsia="en-US"/>
        </w:rPr>
      </w:pPr>
      <w:r>
        <w:rPr>
          <w:rFonts w:cs="Times"/>
          <w:color w:val="0B0B0B"/>
          <w:szCs w:val="24"/>
        </w:rPr>
        <w:t xml:space="preserve">21. </w:t>
      </w:r>
      <w:r w:rsidR="00F42FF2">
        <w:rPr>
          <w:rFonts w:cs="Times"/>
          <w:color w:val="0B0B0B"/>
          <w:szCs w:val="24"/>
        </w:rPr>
        <w:t>In June 2012 the ministerial letter (already quoted stating that primary legislation was to be postponed), encouraged the establishment of a body to with a remit to ensure continuity of co-operative sector body vigilance while the consequences of the tuition fee rises became apparent</w:t>
      </w:r>
      <w:r w:rsidR="00F42FF2" w:rsidRPr="002A507D">
        <w:rPr>
          <w:rFonts w:cs="Arial"/>
          <w:i/>
          <w:szCs w:val="24"/>
          <w:lang w:val="en-GB" w:eastAsia="en-US"/>
        </w:rPr>
        <w:t>.</w:t>
      </w:r>
      <w:r w:rsidR="00F42FF2" w:rsidRPr="002A507D">
        <w:rPr>
          <w:rStyle w:val="FootnoteReference"/>
          <w:rFonts w:cs="Times"/>
          <w:color w:val="0B0B0B"/>
          <w:szCs w:val="24"/>
        </w:rPr>
        <w:t xml:space="preserve"> </w:t>
      </w:r>
      <w:r w:rsidR="00F42FF2">
        <w:rPr>
          <w:rStyle w:val="FootnoteReference"/>
          <w:rFonts w:cs="Times"/>
          <w:color w:val="0B0B0B"/>
          <w:szCs w:val="24"/>
        </w:rPr>
        <w:footnoteReference w:id="13"/>
      </w:r>
      <w:r w:rsidR="00F42FF2">
        <w:rPr>
          <w:rFonts w:cs="Times"/>
          <w:color w:val="0B0B0B"/>
          <w:szCs w:val="24"/>
        </w:rPr>
        <w:t xml:space="preserve">  An </w:t>
      </w:r>
      <w:r>
        <w:rPr>
          <w:rFonts w:cs="Times"/>
          <w:color w:val="0B0B0B"/>
          <w:szCs w:val="24"/>
        </w:rPr>
        <w:t xml:space="preserve">Interim Regulatory Partnership Group of the principal sector bodies was brought together by HEFCE and the Student Loans Company in September 2012. The IRPG functioned as a </w:t>
      </w:r>
      <w:r w:rsidR="00C262EA">
        <w:rPr>
          <w:rFonts w:cs="Times"/>
          <w:color w:val="0B0B0B"/>
          <w:szCs w:val="24"/>
        </w:rPr>
        <w:t>mechanism</w:t>
      </w:r>
      <w:r>
        <w:rPr>
          <w:rFonts w:cs="Times"/>
          <w:color w:val="0B0B0B"/>
          <w:szCs w:val="24"/>
        </w:rPr>
        <w:t xml:space="preserve"> to enable the sector bodies to consider together how a ‘lead regulator’ might emerge and what its functions should be.</w:t>
      </w:r>
    </w:p>
    <w:p w14:paraId="5C17BB69"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Pr>
          <w:rFonts w:cs="Times"/>
          <w:color w:val="0B0B0B"/>
          <w:szCs w:val="24"/>
        </w:rPr>
        <w:t xml:space="preserve"> </w:t>
      </w:r>
    </w:p>
    <w:p w14:paraId="157D9A44" w14:textId="71E81ECF"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Pr>
          <w:rFonts w:cs="Times"/>
          <w:color w:val="0B0B0B"/>
          <w:szCs w:val="24"/>
        </w:rPr>
        <w:t>22. The IRPG produc</w:t>
      </w:r>
      <w:r w:rsidR="00C262EA">
        <w:rPr>
          <w:rFonts w:cs="Times"/>
          <w:color w:val="0B0B0B"/>
          <w:szCs w:val="24"/>
        </w:rPr>
        <w:t>ed  an Operating Framework which can still be found online,</w:t>
      </w:r>
      <w:r w:rsidR="00C262EA">
        <w:rPr>
          <w:rStyle w:val="FootnoteReference"/>
          <w:rFonts w:cs="Times"/>
          <w:color w:val="0B0B0B"/>
          <w:szCs w:val="24"/>
        </w:rPr>
        <w:footnoteReference w:id="14"/>
      </w:r>
      <w:r w:rsidR="00C262EA">
        <w:rPr>
          <w:rFonts w:cs="Times"/>
          <w:color w:val="0B0B0B"/>
          <w:szCs w:val="24"/>
        </w:rPr>
        <w:t xml:space="preserve"> though t</w:t>
      </w:r>
      <w:r>
        <w:rPr>
          <w:rFonts w:cs="Times"/>
          <w:color w:val="0B0B0B"/>
          <w:szCs w:val="24"/>
        </w:rPr>
        <w:t xml:space="preserve">he original document </w:t>
      </w:r>
      <w:r w:rsidR="00C262EA">
        <w:rPr>
          <w:rFonts w:cs="Times"/>
          <w:color w:val="0B0B0B"/>
          <w:szCs w:val="24"/>
        </w:rPr>
        <w:t xml:space="preserve">has </w:t>
      </w:r>
      <w:r>
        <w:rPr>
          <w:rFonts w:cs="Times"/>
          <w:color w:val="0B0B0B"/>
          <w:szCs w:val="24"/>
        </w:rPr>
        <w:t xml:space="preserve">now </w:t>
      </w:r>
      <w:r w:rsidR="00C262EA">
        <w:rPr>
          <w:rFonts w:cs="Times"/>
          <w:color w:val="0B0B0B"/>
          <w:szCs w:val="24"/>
        </w:rPr>
        <w:t xml:space="preserve">been </w:t>
      </w:r>
      <w:r>
        <w:rPr>
          <w:rFonts w:cs="Times"/>
          <w:color w:val="0B0B0B"/>
          <w:szCs w:val="24"/>
        </w:rPr>
        <w:t>replaced on the HEFCE website by a summary.</w:t>
      </w:r>
      <w:r>
        <w:rPr>
          <w:rStyle w:val="FootnoteReference"/>
          <w:rFonts w:cs="Times"/>
          <w:color w:val="0B0B0B"/>
          <w:szCs w:val="24"/>
        </w:rPr>
        <w:footnoteReference w:id="15"/>
      </w:r>
      <w:r w:rsidR="00C262EA">
        <w:rPr>
          <w:rFonts w:cs="Times"/>
          <w:color w:val="0B0B0B"/>
          <w:szCs w:val="24"/>
        </w:rPr>
        <w:t xml:space="preserve"> </w:t>
      </w:r>
      <w:r>
        <w:rPr>
          <w:rFonts w:cs="Times"/>
          <w:color w:val="0B0B0B"/>
          <w:szCs w:val="24"/>
        </w:rPr>
        <w:t>A Register of higher education providers was also developed to provide:</w:t>
      </w:r>
    </w:p>
    <w:p w14:paraId="0E93E47E" w14:textId="77777777" w:rsidR="007D5D5C" w:rsidRPr="00E41815"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sidRPr="00E41815">
        <w:rPr>
          <w:rFonts w:cs="Times"/>
          <w:i/>
          <w:szCs w:val="24"/>
        </w:rPr>
        <w:t xml:space="preserve">a directory of higher education providers regulated in England which have one or more of the following features: receive direct public grants for HE, have courses which have been specifically designated by the Government as eligible for the purposes of </w:t>
      </w:r>
      <w:r w:rsidRPr="00E41815">
        <w:rPr>
          <w:rFonts w:cs="Times"/>
          <w:i/>
          <w:szCs w:val="24"/>
        </w:rPr>
        <w:lastRenderedPageBreak/>
        <w:t>English student support funding, are higher education institutions (HEIs), have the right to award one or more types of UK degree</w:t>
      </w:r>
      <w:r w:rsidRPr="00E41815">
        <w:rPr>
          <w:rFonts w:cs="Times"/>
          <w:color w:val="0B0B0B"/>
          <w:szCs w:val="24"/>
        </w:rPr>
        <w:t>.</w:t>
      </w:r>
      <w:r w:rsidRPr="00E41815">
        <w:rPr>
          <w:rStyle w:val="FootnoteReference"/>
          <w:rFonts w:cs="Times"/>
          <w:color w:val="0B0B0B"/>
          <w:szCs w:val="24"/>
        </w:rPr>
        <w:footnoteReference w:id="16"/>
      </w:r>
    </w:p>
    <w:p w14:paraId="5AB17BAE"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65E2AE1B" w14:textId="109B2B32"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Pr>
          <w:rFonts w:cs="Times"/>
          <w:color w:val="0B0B0B"/>
          <w:szCs w:val="24"/>
        </w:rPr>
        <w:t>23. HEFCE now describes itself as the ‘lead regulator’</w:t>
      </w:r>
      <w:r w:rsidR="00C262EA">
        <w:rPr>
          <w:rFonts w:cs="Times"/>
          <w:color w:val="0B0B0B"/>
          <w:szCs w:val="24"/>
        </w:rPr>
        <w:t>,</w:t>
      </w:r>
      <w:r>
        <w:rPr>
          <w:rStyle w:val="FootnoteReference"/>
          <w:rFonts w:cs="Times"/>
          <w:color w:val="0B0B0B"/>
          <w:szCs w:val="24"/>
        </w:rPr>
        <w:footnoteReference w:id="17"/>
      </w:r>
      <w:r>
        <w:rPr>
          <w:rFonts w:cs="Times"/>
          <w:color w:val="0B0B0B"/>
          <w:szCs w:val="24"/>
        </w:rPr>
        <w:t xml:space="preserve"> </w:t>
      </w:r>
      <w:r w:rsidR="00C262EA">
        <w:rPr>
          <w:rFonts w:cs="Times"/>
          <w:color w:val="0B0B0B"/>
          <w:szCs w:val="24"/>
        </w:rPr>
        <w:t xml:space="preserve">though this title never went beyond a suggestion in the documents of 2011. </w:t>
      </w:r>
      <w:r>
        <w:rPr>
          <w:rFonts w:cs="Times"/>
          <w:color w:val="0B0B0B"/>
          <w:szCs w:val="24"/>
        </w:rPr>
        <w:t>The cooperative joint body still meets, now as the Regulatory Partnership Group, but infrequently, only twice a year as scheduled for 2016.</w:t>
      </w:r>
      <w:r>
        <w:rPr>
          <w:rStyle w:val="FootnoteReference"/>
          <w:rFonts w:cs="Times"/>
          <w:color w:val="0B0B0B"/>
          <w:szCs w:val="24"/>
        </w:rPr>
        <w:footnoteReference w:id="18"/>
      </w:r>
      <w:r w:rsidR="00F42FF2">
        <w:rPr>
          <w:rFonts w:cs="Times"/>
          <w:color w:val="0B0B0B"/>
          <w:szCs w:val="24"/>
        </w:rPr>
        <w:t xml:space="preserve">  The RPG in its current form c</w:t>
      </w:r>
      <w:r>
        <w:rPr>
          <w:rFonts w:cs="Times"/>
          <w:color w:val="0B0B0B"/>
          <w:szCs w:val="24"/>
        </w:rPr>
        <w:t>ould not survive the implementa</w:t>
      </w:r>
      <w:r w:rsidR="00F42FF2">
        <w:rPr>
          <w:rFonts w:cs="Times"/>
          <w:color w:val="0B0B0B"/>
          <w:szCs w:val="24"/>
        </w:rPr>
        <w:t>tion of Green Paper proposals, because t</w:t>
      </w:r>
      <w:r>
        <w:rPr>
          <w:rFonts w:cs="Times"/>
          <w:color w:val="0B0B0B"/>
          <w:szCs w:val="24"/>
        </w:rPr>
        <w:t>he Green Paper proposes to replace HEFCE and OFFA with a new ‘Office for Students’. The future of some of the sector bodies rema</w:t>
      </w:r>
      <w:r w:rsidR="00F42FF2">
        <w:rPr>
          <w:rFonts w:cs="Times"/>
          <w:color w:val="0B0B0B"/>
          <w:szCs w:val="24"/>
        </w:rPr>
        <w:t>ins unclear, though there is a</w:t>
      </w:r>
      <w:r>
        <w:rPr>
          <w:rFonts w:cs="Times"/>
          <w:color w:val="0B0B0B"/>
          <w:szCs w:val="24"/>
        </w:rPr>
        <w:t xml:space="preserve"> a strong hint of Government intention to seek to save money by reducing the number:</w:t>
      </w:r>
    </w:p>
    <w:p w14:paraId="443E313A" w14:textId="77777777" w:rsidR="007D5D5C" w:rsidRDefault="007D5D5C" w:rsidP="007D5D5C">
      <w:pPr>
        <w:widowControl w:val="0"/>
        <w:autoSpaceDE w:val="0"/>
        <w:autoSpaceDN w:val="0"/>
        <w:adjustRightInd w:val="0"/>
        <w:spacing w:after="309" w:line="360" w:lineRule="auto"/>
        <w:jc w:val="both"/>
        <w:rPr>
          <w:rFonts w:cs="Arial"/>
          <w:i/>
          <w:color w:val="000000"/>
          <w:szCs w:val="24"/>
        </w:rPr>
      </w:pPr>
      <w:r w:rsidRPr="00883676">
        <w:rPr>
          <w:rFonts w:cs="Arial"/>
          <w:i/>
          <w:color w:val="000000"/>
          <w:szCs w:val="24"/>
        </w:rPr>
        <w:t xml:space="preserve">English higher education is supported by nine Government and sector owned bodies with a core role in the system architecture: BIS, SLC, HEFCE, OFFA, QAA, HEA, HESA, Office of the Independent Adjudicator (OIA) and UCAS. It dates from the early 1990s when direct grant made up almost all higher education teaching funding. The total cost of running these bodies (excluding the SLC) is over £60 million per year for higher education providers and over £40 million per year for taxpayers. </w:t>
      </w:r>
    </w:p>
    <w:p w14:paraId="20F35BBC" w14:textId="119C7E33" w:rsidR="007D5D5C" w:rsidRPr="00883676" w:rsidRDefault="007D5D5C" w:rsidP="00F42FF2">
      <w:pPr>
        <w:widowControl w:val="0"/>
        <w:tabs>
          <w:tab w:val="left" w:pos="220"/>
          <w:tab w:val="left" w:pos="720"/>
        </w:tabs>
        <w:autoSpaceDE w:val="0"/>
        <w:autoSpaceDN w:val="0"/>
        <w:adjustRightInd w:val="0"/>
        <w:spacing w:after="0" w:line="360" w:lineRule="auto"/>
        <w:jc w:val="both"/>
        <w:rPr>
          <w:rFonts w:cs="Arial"/>
          <w:color w:val="000000"/>
          <w:szCs w:val="24"/>
        </w:rPr>
      </w:pPr>
      <w:r>
        <w:rPr>
          <w:rFonts w:cs="Times"/>
          <w:szCs w:val="24"/>
        </w:rPr>
        <w:t xml:space="preserve">24. </w:t>
      </w:r>
      <w:r w:rsidRPr="00883676">
        <w:rPr>
          <w:rFonts w:cs="Times"/>
          <w:szCs w:val="24"/>
        </w:rPr>
        <w:t>The Green Paper states a Government intention to ‘</w:t>
      </w:r>
      <w:r w:rsidRPr="00883676">
        <w:rPr>
          <w:rFonts w:cs="Arial"/>
          <w:color w:val="000000"/>
          <w:szCs w:val="24"/>
        </w:rPr>
        <w:t xml:space="preserve">streamline the architecture of higher education’ and </w:t>
      </w:r>
      <w:r w:rsidR="00F42FF2">
        <w:rPr>
          <w:rFonts w:cs="Arial"/>
          <w:color w:val="000000"/>
          <w:szCs w:val="24"/>
        </w:rPr>
        <w:t xml:space="preserve"> </w:t>
      </w:r>
      <w:r w:rsidRPr="00883676">
        <w:rPr>
          <w:rFonts w:cs="Arial"/>
          <w:color w:val="000000"/>
          <w:szCs w:val="24"/>
        </w:rPr>
        <w:t xml:space="preserve"> seeks views on ways in which this might be achieved by rolling up as much as possible into the OfS, on the unstated presumption that this will be an improvement and a </w:t>
      </w:r>
      <w:r w:rsidR="00F42FF2">
        <w:rPr>
          <w:rFonts w:cs="Arial"/>
          <w:color w:val="000000"/>
          <w:szCs w:val="24"/>
        </w:rPr>
        <w:t xml:space="preserve">financial </w:t>
      </w:r>
      <w:r w:rsidRPr="00883676">
        <w:rPr>
          <w:rFonts w:cs="Arial"/>
          <w:color w:val="000000"/>
          <w:szCs w:val="24"/>
        </w:rPr>
        <w:t>saving:</w:t>
      </w:r>
    </w:p>
    <w:p w14:paraId="3312F0B9" w14:textId="77777777" w:rsidR="007D5D5C" w:rsidRPr="00883676" w:rsidRDefault="007D5D5C" w:rsidP="007D5D5C">
      <w:pPr>
        <w:widowControl w:val="0"/>
        <w:autoSpaceDE w:val="0"/>
        <w:autoSpaceDN w:val="0"/>
        <w:adjustRightInd w:val="0"/>
        <w:spacing w:after="309" w:line="360" w:lineRule="auto"/>
        <w:jc w:val="both"/>
        <w:rPr>
          <w:rFonts w:cs="Arial"/>
          <w:i/>
          <w:color w:val="000000"/>
          <w:szCs w:val="24"/>
        </w:rPr>
      </w:pPr>
      <w:r w:rsidRPr="00883676">
        <w:rPr>
          <w:rFonts w:cs="Arial"/>
          <w:i/>
          <w:color w:val="000000"/>
          <w:szCs w:val="24"/>
        </w:rPr>
        <w:t xml:space="preserve">The Government proposes that the OfS would have overall responsibility for the quality assurance and TEF functions, and the data function. Quality assurance is currently undertaken by the QAA on behalf of HEFCE, supported by the role of the HEA. Collecting and publishing data is done by HESA, acting on behalf of HEFCE. The Government would like to seek views on how the OfS should exercise these functions in </w:t>
      </w:r>
      <w:r w:rsidRPr="00883676">
        <w:rPr>
          <w:rFonts w:cs="Arial"/>
          <w:i/>
          <w:color w:val="000000"/>
          <w:szCs w:val="24"/>
        </w:rPr>
        <w:lastRenderedPageBreak/>
        <w:t>relation to other bodies, recognising the benefits of maintaining a co-regulated</w:t>
      </w:r>
      <w:r>
        <w:rPr>
          <w:rFonts w:cs="Arial"/>
          <w:i/>
          <w:color w:val="000000"/>
          <w:szCs w:val="24"/>
        </w:rPr>
        <w:t xml:space="preserve"> approach.</w:t>
      </w:r>
    </w:p>
    <w:p w14:paraId="78A9B03C" w14:textId="78C6806D"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Pr>
          <w:rFonts w:cs="Times"/>
          <w:color w:val="0B0B0B"/>
          <w:szCs w:val="24"/>
        </w:rPr>
        <w:t>25. It is not entirely clear whether OfS would be a statutory body equivalent in its legal form to the current funding council or a ‘lead regulator’ as HEFCE now defines itself</w:t>
      </w:r>
      <w:r w:rsidR="00F42FF2">
        <w:rPr>
          <w:rFonts w:cs="Times"/>
          <w:color w:val="0B0B0B"/>
          <w:szCs w:val="24"/>
        </w:rPr>
        <w:t>, or something else.  As proposed, it would have the</w:t>
      </w:r>
      <w:r>
        <w:rPr>
          <w:rFonts w:cs="Times"/>
          <w:color w:val="0B0B0B"/>
          <w:szCs w:val="24"/>
        </w:rPr>
        <w:t xml:space="preserve"> rather general ‘statutory powers’ which </w:t>
      </w:r>
      <w:r w:rsidR="00F42FF2">
        <w:rPr>
          <w:rFonts w:cs="Times"/>
          <w:color w:val="0B0B0B"/>
          <w:szCs w:val="24"/>
        </w:rPr>
        <w:t xml:space="preserve">are listed in the Green Paper. </w:t>
      </w:r>
      <w:r>
        <w:rPr>
          <w:rFonts w:cs="Times"/>
          <w:color w:val="0B0B0B"/>
          <w:szCs w:val="24"/>
        </w:rPr>
        <w:t>It remains unclear in the Green Paper how and whether the block grant element still providing research funding would be regulated through the OfS.</w:t>
      </w:r>
    </w:p>
    <w:p w14:paraId="20DAF57F" w14:textId="77777777"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0B08BAD1" w14:textId="31305B2F" w:rsidR="007D5D5C"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r>
        <w:rPr>
          <w:rFonts w:cs="Times"/>
          <w:color w:val="0B0B0B"/>
          <w:szCs w:val="24"/>
        </w:rPr>
        <w:t xml:space="preserve">26. The OfS as proposed would  be paid for by subscribing institutions as it the case for the Office of the Independent Adjudicator at present, with Quality Assurance Agency Funding coming partly from subscribing institutions and partly as public funding through HEFCE.  The funding levels hitherto on record for the various sector bodies range widely.  OFFA has been </w:t>
      </w:r>
      <w:r w:rsidR="00F42FF2">
        <w:rPr>
          <w:rFonts w:cs="Times"/>
          <w:color w:val="0B0B0B"/>
          <w:szCs w:val="24"/>
        </w:rPr>
        <w:t xml:space="preserve">very </w:t>
      </w:r>
      <w:r>
        <w:rPr>
          <w:rFonts w:cs="Times"/>
          <w:color w:val="0B0B0B"/>
          <w:szCs w:val="24"/>
        </w:rPr>
        <w:t xml:space="preserve">modestly funded, with a small staff. HEFCE has a much larger staff and a far wider range of current responsibilities, apparently to be rolled up into the new body and needing sufficient funding.  </w:t>
      </w:r>
    </w:p>
    <w:p w14:paraId="68F3A7CF" w14:textId="77777777" w:rsidR="007D5D5C" w:rsidRPr="00F2157E" w:rsidRDefault="007D5D5C" w:rsidP="007D5D5C">
      <w:pPr>
        <w:widowControl w:val="0"/>
        <w:tabs>
          <w:tab w:val="left" w:pos="220"/>
          <w:tab w:val="left" w:pos="720"/>
        </w:tabs>
        <w:autoSpaceDE w:val="0"/>
        <w:autoSpaceDN w:val="0"/>
        <w:adjustRightInd w:val="0"/>
        <w:spacing w:after="0" w:line="360" w:lineRule="auto"/>
        <w:jc w:val="both"/>
        <w:rPr>
          <w:rFonts w:cs="Times"/>
          <w:color w:val="0B0B0B"/>
          <w:szCs w:val="24"/>
        </w:rPr>
      </w:pPr>
    </w:p>
    <w:p w14:paraId="66799FC4" w14:textId="77777777" w:rsidR="007D5D5C" w:rsidRPr="00E32162" w:rsidRDefault="007D5D5C" w:rsidP="007D5D5C">
      <w:pPr>
        <w:pStyle w:val="Default"/>
        <w:spacing w:line="360" w:lineRule="auto"/>
        <w:jc w:val="both"/>
        <w:rPr>
          <w:rFonts w:asciiTheme="minorHAnsi" w:hAnsiTheme="minorHAnsi" w:cs="Times"/>
          <w:color w:val="0B0B0B"/>
        </w:rPr>
      </w:pPr>
      <w:r>
        <w:rPr>
          <w:rFonts w:asciiTheme="minorHAnsi" w:hAnsiTheme="minorHAnsi" w:cs="Times"/>
          <w:color w:val="0B0B0B"/>
        </w:rPr>
        <w:t xml:space="preserve">27. </w:t>
      </w:r>
      <w:r w:rsidRPr="00F2157E">
        <w:rPr>
          <w:rFonts w:asciiTheme="minorHAnsi" w:hAnsiTheme="minorHAnsi" w:cs="Times"/>
          <w:color w:val="0B0B0B"/>
        </w:rPr>
        <w:t>The proposed statutory duties and powers of the Secretary of State are listed</w:t>
      </w:r>
      <w:r>
        <w:rPr>
          <w:rFonts w:asciiTheme="minorHAnsi" w:hAnsiTheme="minorHAnsi" w:cs="Times"/>
          <w:color w:val="0B0B0B"/>
        </w:rPr>
        <w:t xml:space="preserve"> in the Green Paper</w:t>
      </w:r>
      <w:r>
        <w:rPr>
          <w:rFonts w:cs="Times"/>
          <w:color w:val="0B0B0B"/>
        </w:rPr>
        <w:t xml:space="preserve">. </w:t>
      </w:r>
      <w:r w:rsidRPr="00C262EA">
        <w:rPr>
          <w:rFonts w:asciiTheme="minorHAnsi" w:hAnsiTheme="minorHAnsi" w:cs="Times"/>
          <w:color w:val="0B0B0B"/>
        </w:rPr>
        <w:t>This is a topic</w:t>
      </w:r>
      <w:r w:rsidRPr="00F2157E">
        <w:rPr>
          <w:rFonts w:asciiTheme="minorHAnsi" w:hAnsiTheme="minorHAnsi" w:cs="Times"/>
          <w:color w:val="0B0B0B"/>
        </w:rPr>
        <w:t xml:space="preserve"> which has in the past caused a great deal of debate in both House of Parliament, </w:t>
      </w:r>
      <w:r>
        <w:rPr>
          <w:rFonts w:asciiTheme="minorHAnsi" w:hAnsiTheme="minorHAnsi" w:cs="Times"/>
          <w:color w:val="0B0B0B"/>
        </w:rPr>
        <w:t>notably</w:t>
      </w:r>
      <w:r w:rsidRPr="00F2157E">
        <w:rPr>
          <w:rFonts w:asciiTheme="minorHAnsi" w:hAnsiTheme="minorHAnsi" w:cs="Times"/>
          <w:color w:val="0B0B0B"/>
        </w:rPr>
        <w:t xml:space="preserve"> before the passing of the Education Reform Act 1988 and again before the passing of the Further and Higher Education Act 1992. </w:t>
      </w:r>
      <w:r>
        <w:rPr>
          <w:rFonts w:asciiTheme="minorHAnsi" w:hAnsiTheme="minorHAnsi" w:cs="Times"/>
          <w:color w:val="0B0B0B"/>
        </w:rPr>
        <w:t xml:space="preserve"> </w:t>
      </w:r>
      <w:r w:rsidRPr="00F2157E">
        <w:rPr>
          <w:rFonts w:asciiTheme="minorHAnsi" w:hAnsiTheme="minorHAnsi" w:cs="Times"/>
          <w:color w:val="0B0B0B"/>
        </w:rPr>
        <w:t xml:space="preserve">The Secretary of State would, it is proposed, have ‘power to give directions’ to the OfS ‘as it currently does for HEFCE via the grant letter’; ‘power to set tuition fee caps’; </w:t>
      </w:r>
      <w:r w:rsidRPr="00F2157E">
        <w:rPr>
          <w:rFonts w:asciiTheme="minorHAnsi" w:hAnsiTheme="minorHAnsi"/>
        </w:rPr>
        <w:t xml:space="preserve"> ‘power to require OfS to investigate particular issues and provide a report to ministers’ so as ‘ensure ministers can respond to issues arising and ensure that appropriate action is taken, without intervening directly’; </w:t>
      </w:r>
      <w:r w:rsidRPr="00F2157E">
        <w:rPr>
          <w:rFonts w:asciiTheme="minorHAnsi" w:hAnsiTheme="minorHAnsi" w:cs="Times"/>
          <w:color w:val="0B0B0B"/>
        </w:rPr>
        <w:t xml:space="preserve"> ‘power to </w:t>
      </w:r>
      <w:r w:rsidRPr="00F2157E">
        <w:rPr>
          <w:rFonts w:asciiTheme="minorHAnsi" w:hAnsiTheme="minorHAnsi"/>
        </w:rPr>
        <w:t>require OfS to provide the Secretary of State with such data, information or advice as they may from time to time require’</w:t>
      </w:r>
      <w:r>
        <w:rPr>
          <w:rFonts w:asciiTheme="minorHAnsi" w:hAnsiTheme="minorHAnsi"/>
        </w:rPr>
        <w:t xml:space="preserve">; </w:t>
      </w:r>
      <w:r w:rsidRPr="00F2157E">
        <w:rPr>
          <w:rFonts w:asciiTheme="minorHAnsi" w:hAnsiTheme="minorHAnsi"/>
        </w:rPr>
        <w:t>‘power to confer additional functions relating to</w:t>
      </w:r>
      <w:r>
        <w:rPr>
          <w:rFonts w:asciiTheme="minorHAnsi" w:hAnsiTheme="minorHAnsi"/>
        </w:rPr>
        <w:t xml:space="preserve"> education onto OfS [to give]</w:t>
      </w:r>
      <w:r w:rsidRPr="00F2157E">
        <w:rPr>
          <w:rFonts w:asciiTheme="minorHAnsi" w:hAnsiTheme="minorHAnsi"/>
        </w:rPr>
        <w:t xml:space="preserve"> ministers flexibility to pass other responsibilities to OfS in due course, subject to Parliamentary approval’.</w:t>
      </w:r>
      <w:r>
        <w:rPr>
          <w:rFonts w:asciiTheme="minorHAnsi" w:hAnsiTheme="minorHAnsi"/>
        </w:rPr>
        <w:t xml:space="preserve">  </w:t>
      </w:r>
    </w:p>
    <w:p w14:paraId="62F30DCC" w14:textId="77777777" w:rsidR="007D5D5C" w:rsidRDefault="007D5D5C" w:rsidP="007D5D5C">
      <w:pPr>
        <w:pStyle w:val="Default"/>
        <w:spacing w:line="360" w:lineRule="auto"/>
        <w:jc w:val="both"/>
        <w:rPr>
          <w:rFonts w:asciiTheme="minorHAnsi" w:hAnsiTheme="minorHAnsi"/>
        </w:rPr>
      </w:pPr>
    </w:p>
    <w:p w14:paraId="21654505" w14:textId="77777777" w:rsidR="007D5D5C" w:rsidRDefault="007D5D5C" w:rsidP="006D331C">
      <w:pPr>
        <w:pStyle w:val="Default"/>
        <w:spacing w:line="360" w:lineRule="auto"/>
        <w:jc w:val="both"/>
        <w:rPr>
          <w:rFonts w:asciiTheme="minorHAnsi" w:hAnsiTheme="minorHAnsi"/>
          <w:bCs/>
          <w:color w:val="3A3B3D"/>
        </w:rPr>
      </w:pPr>
      <w:r>
        <w:rPr>
          <w:rFonts w:asciiTheme="minorHAnsi" w:hAnsiTheme="minorHAnsi"/>
        </w:rPr>
        <w:t xml:space="preserve">28. These partly match the powers set out in the 1992 Act but with no clarity about a key point of parliamentary controversy settled by s.68(2)(b), which prevents the Secretary of State intervening directly through provision of financial support </w:t>
      </w:r>
      <w:r w:rsidRPr="00531271">
        <w:rPr>
          <w:rFonts w:asciiTheme="minorHAnsi" w:hAnsiTheme="minorHAnsi"/>
        </w:rPr>
        <w:t>‘</w:t>
      </w:r>
      <w:r w:rsidRPr="00531271">
        <w:rPr>
          <w:rFonts w:asciiTheme="minorHAnsi" w:hAnsiTheme="minorHAnsi"/>
          <w:color w:val="3A3B3D"/>
        </w:rPr>
        <w:t>in respect of activities carried on by any particular institution or institutions’</w:t>
      </w:r>
      <w:r>
        <w:rPr>
          <w:rFonts w:asciiTheme="minorHAnsi" w:hAnsiTheme="minorHAnsi"/>
          <w:color w:val="3A3B3D"/>
        </w:rPr>
        <w:t>.  Nor is there any clarity about the replacement of the powers of HEFCE under s,70</w:t>
      </w:r>
      <w:r w:rsidRPr="00531271">
        <w:rPr>
          <w:rFonts w:asciiTheme="minorHAnsi" w:hAnsiTheme="minorHAnsi"/>
          <w:color w:val="3A3B3D"/>
        </w:rPr>
        <w:t>,  ‘</w:t>
      </w:r>
      <w:r w:rsidRPr="00531271">
        <w:rPr>
          <w:rFonts w:asciiTheme="minorHAnsi" w:hAnsiTheme="minorHAnsi"/>
          <w:bCs/>
          <w:color w:val="3A3B3D"/>
        </w:rPr>
        <w:t>Assessment of quality of education provided by institutions’</w:t>
      </w:r>
      <w:r>
        <w:rPr>
          <w:rFonts w:asciiTheme="minorHAnsi" w:hAnsiTheme="minorHAnsi"/>
          <w:bCs/>
          <w:color w:val="3A3B3D"/>
        </w:rPr>
        <w:t xml:space="preserve">.  This was the subject of a </w:t>
      </w:r>
      <w:r w:rsidRPr="00F42FF2">
        <w:rPr>
          <w:rFonts w:asciiTheme="minorHAnsi" w:hAnsiTheme="minorHAnsi"/>
          <w:color w:val="auto"/>
        </w:rPr>
        <w:t xml:space="preserve">controversial </w:t>
      </w:r>
      <w:r w:rsidRPr="00F42FF2">
        <w:rPr>
          <w:rFonts w:asciiTheme="minorHAnsi" w:hAnsiTheme="minorHAnsi"/>
          <w:bCs/>
          <w:color w:val="auto"/>
        </w:rPr>
        <w:t xml:space="preserve">consultation by HEFCE during 2015, but was overtaken by the election of a new Government, the appointment of Jo Johnson as Minister and the launching of the plans for a Teaching Excellent Framework.  HEFCE added remarks on the TEF to its own consultation, suggesting that </w:t>
      </w:r>
      <w:r w:rsidRPr="00F42FF2">
        <w:rPr>
          <w:rFonts w:asciiTheme="minorHAnsi" w:hAnsiTheme="minorHAnsi" w:cs="Times"/>
          <w:color w:val="auto"/>
        </w:rPr>
        <w:t>HEFCE and the Department for Business, Innovation and Skills are working together’ in this area</w:t>
      </w:r>
      <w:r w:rsidRPr="00F42FF2">
        <w:rPr>
          <w:rFonts w:asciiTheme="minorHAnsi" w:hAnsiTheme="minorHAnsi"/>
          <w:bCs/>
          <w:color w:val="auto"/>
        </w:rPr>
        <w:t xml:space="preserve">. </w:t>
      </w:r>
      <w:r w:rsidRPr="00F42FF2">
        <w:rPr>
          <w:rStyle w:val="FootnoteReference"/>
          <w:rFonts w:asciiTheme="minorHAnsi" w:hAnsiTheme="minorHAnsi"/>
          <w:bCs/>
          <w:color w:val="auto"/>
        </w:rPr>
        <w:footnoteReference w:id="19"/>
      </w:r>
      <w:r w:rsidRPr="00F42FF2">
        <w:rPr>
          <w:rFonts w:asciiTheme="minorHAnsi" w:hAnsiTheme="minorHAnsi"/>
          <w:bCs/>
          <w:color w:val="auto"/>
        </w:rPr>
        <w:t xml:space="preserve">  It seems likely that this is still a sensitive area in terms of boundaries. The Green Paper has nothing to say about ‘quality assessment’, thought something about ‘quality assurance’; this appears to be defined solely in terms of ‘student experience’ and ‘teaching excellence’.</w:t>
      </w:r>
    </w:p>
    <w:p w14:paraId="45159899" w14:textId="77777777" w:rsidR="007D5D5C" w:rsidRDefault="007D5D5C" w:rsidP="006D331C">
      <w:pPr>
        <w:pStyle w:val="Default"/>
        <w:spacing w:line="360" w:lineRule="auto"/>
        <w:jc w:val="both"/>
        <w:rPr>
          <w:rFonts w:asciiTheme="minorHAnsi" w:hAnsiTheme="minorHAnsi"/>
          <w:bCs/>
          <w:color w:val="3A3B3D"/>
        </w:rPr>
      </w:pPr>
    </w:p>
    <w:p w14:paraId="688BFFDE" w14:textId="602BBDA7" w:rsidR="007D5D5C" w:rsidRDefault="007D5D5C" w:rsidP="006D331C">
      <w:pPr>
        <w:pStyle w:val="Default"/>
        <w:spacing w:line="360" w:lineRule="auto"/>
        <w:jc w:val="both"/>
        <w:rPr>
          <w:rFonts w:asciiTheme="minorHAnsi" w:hAnsiTheme="minorHAnsi"/>
          <w:bCs/>
          <w:color w:val="3A3B3D"/>
        </w:rPr>
      </w:pPr>
      <w:r>
        <w:rPr>
          <w:rFonts w:asciiTheme="minorHAnsi" w:hAnsiTheme="minorHAnsi"/>
          <w:bCs/>
          <w:color w:val="3A3B3D"/>
        </w:rPr>
        <w:t xml:space="preserve">29. HEFCE’s other statutory function, in relation to research funding, is not mentioned in connection with the OfS. </w:t>
      </w:r>
      <w:r w:rsidRPr="00707928">
        <w:rPr>
          <w:rFonts w:asciiTheme="minorHAnsi" w:hAnsiTheme="minorHAnsi"/>
          <w:bCs/>
          <w:color w:val="3A3B3D"/>
        </w:rPr>
        <w:t>That is covered in part in the</w:t>
      </w:r>
      <w:r>
        <w:rPr>
          <w:rFonts w:asciiTheme="minorHAnsi" w:hAnsiTheme="minorHAnsi"/>
          <w:bCs/>
          <w:color w:val="3A3B3D"/>
        </w:rPr>
        <w:t xml:space="preserve"> section of the Green Paper on which deals with R</w:t>
      </w:r>
      <w:r w:rsidRPr="00707928">
        <w:rPr>
          <w:rFonts w:asciiTheme="minorHAnsi" w:hAnsiTheme="minorHAnsi"/>
          <w:bCs/>
          <w:color w:val="3A3B3D"/>
        </w:rPr>
        <w:t>esearch, which was published</w:t>
      </w:r>
      <w:r>
        <w:rPr>
          <w:rFonts w:asciiTheme="minorHAnsi" w:hAnsiTheme="minorHAnsi"/>
          <w:bCs/>
          <w:color w:val="3A3B3D"/>
        </w:rPr>
        <w:t xml:space="preserve"> shortly</w:t>
      </w:r>
      <w:r w:rsidRPr="00707928">
        <w:rPr>
          <w:rFonts w:asciiTheme="minorHAnsi" w:hAnsiTheme="minorHAnsi"/>
          <w:bCs/>
          <w:color w:val="3A3B3D"/>
        </w:rPr>
        <w:t xml:space="preserve"> before the appearance of the </w:t>
      </w:r>
      <w:r w:rsidRPr="00707928">
        <w:rPr>
          <w:rFonts w:asciiTheme="minorHAnsi" w:hAnsiTheme="minorHAnsi"/>
          <w:bCs/>
          <w:i/>
          <w:color w:val="3A3B3D"/>
        </w:rPr>
        <w:t>Nurse Review of Research Councils</w:t>
      </w:r>
      <w:r w:rsidRPr="00707928">
        <w:rPr>
          <w:rStyle w:val="FootnoteReference"/>
          <w:rFonts w:asciiTheme="minorHAnsi" w:hAnsiTheme="minorHAnsi"/>
          <w:bCs/>
          <w:color w:val="3A3B3D"/>
        </w:rPr>
        <w:footnoteReference w:id="20"/>
      </w:r>
      <w:r w:rsidRPr="00707928">
        <w:rPr>
          <w:rFonts w:asciiTheme="minorHAnsi" w:hAnsiTheme="minorHAnsi"/>
          <w:bCs/>
          <w:color w:val="3A3B3D"/>
        </w:rPr>
        <w:t xml:space="preserve"> </w:t>
      </w:r>
      <w:r>
        <w:rPr>
          <w:rFonts w:asciiTheme="minorHAnsi" w:hAnsiTheme="minorHAnsi"/>
          <w:bCs/>
          <w:color w:val="3A3B3D"/>
        </w:rPr>
        <w:t xml:space="preserve">to which it refers. This </w:t>
      </w:r>
      <w:r w:rsidRPr="00707928">
        <w:rPr>
          <w:rFonts w:asciiTheme="minorHAnsi" w:hAnsiTheme="minorHAnsi"/>
          <w:bCs/>
          <w:color w:val="3A3B3D"/>
        </w:rPr>
        <w:t>makes a recommendation that</w:t>
      </w:r>
      <w:r w:rsidRPr="00707928">
        <w:rPr>
          <w:rFonts w:asciiTheme="minorHAnsi" w:hAnsiTheme="minorHAnsi"/>
        </w:rPr>
        <w:t xml:space="preserve"> oversight would in future be provided by a ‘Research UK Board ‘, to ‘be appointed by Ministers’ and reporting, </w:t>
      </w:r>
      <w:r>
        <w:rPr>
          <w:rFonts w:asciiTheme="minorHAnsi" w:hAnsiTheme="minorHAnsi"/>
        </w:rPr>
        <w:t>‘</w:t>
      </w:r>
      <w:r w:rsidRPr="00707928">
        <w:rPr>
          <w:rFonts w:asciiTheme="minorHAnsi" w:hAnsiTheme="minorHAnsi"/>
        </w:rPr>
        <w:t xml:space="preserve">to the responsible Director General in BIS, who would, in keeping with Government practice, attend the Board in an </w:t>
      </w:r>
      <w:r w:rsidRPr="00707928">
        <w:rPr>
          <w:rFonts w:asciiTheme="minorHAnsi" w:hAnsiTheme="minorHAnsi"/>
          <w:i/>
          <w:iCs/>
        </w:rPr>
        <w:t xml:space="preserve">ex officio </w:t>
      </w:r>
      <w:r w:rsidRPr="00707928">
        <w:rPr>
          <w:rFonts w:asciiTheme="minorHAnsi" w:hAnsiTheme="minorHAnsi"/>
        </w:rPr>
        <w:t xml:space="preserve">capacity’. </w:t>
      </w:r>
    </w:p>
    <w:p w14:paraId="5DE3E321" w14:textId="77777777" w:rsidR="007D5D5C" w:rsidRDefault="007D5D5C" w:rsidP="007D5D5C">
      <w:pPr>
        <w:pStyle w:val="Default"/>
        <w:spacing w:line="360" w:lineRule="auto"/>
        <w:jc w:val="both"/>
        <w:rPr>
          <w:rFonts w:asciiTheme="minorHAnsi" w:hAnsiTheme="minorHAnsi"/>
          <w:bCs/>
          <w:color w:val="3A3B3D"/>
        </w:rPr>
      </w:pPr>
    </w:p>
    <w:p w14:paraId="67003207" w14:textId="665BBE6E" w:rsidR="006D331C" w:rsidRPr="00F42FF2" w:rsidRDefault="007D5D5C" w:rsidP="006D331C">
      <w:pPr>
        <w:pStyle w:val="Default"/>
        <w:spacing w:line="360" w:lineRule="auto"/>
        <w:jc w:val="both"/>
      </w:pPr>
      <w:r>
        <w:rPr>
          <w:rFonts w:asciiTheme="minorHAnsi" w:hAnsiTheme="minorHAnsi"/>
        </w:rPr>
        <w:t xml:space="preserve">30. </w:t>
      </w:r>
      <w:r w:rsidRPr="00707928">
        <w:rPr>
          <w:rFonts w:asciiTheme="minorHAnsi" w:hAnsiTheme="minorHAnsi"/>
        </w:rPr>
        <w:t>Question 25 (</w:t>
      </w:r>
      <w:r w:rsidRPr="00707928">
        <w:rPr>
          <w:rFonts w:asciiTheme="minorHAnsi" w:hAnsiTheme="minorHAnsi"/>
          <w:bCs/>
          <w:iCs/>
        </w:rPr>
        <w:t xml:space="preserve">a) </w:t>
      </w:r>
      <w:r w:rsidRPr="00707928">
        <w:rPr>
          <w:rFonts w:asciiTheme="minorHAnsi" w:hAnsiTheme="minorHAnsi"/>
          <w:bCs/>
          <w:i/>
          <w:iCs/>
        </w:rPr>
        <w:t>What safeguards would you want to see in place in the event that dual funding was operated within a single organisation?</w:t>
      </w:r>
      <w:r>
        <w:rPr>
          <w:rFonts w:asciiTheme="minorHAnsi" w:hAnsiTheme="minorHAnsi"/>
          <w:bCs/>
          <w:iCs/>
        </w:rPr>
        <w:t xml:space="preserve"> i</w:t>
      </w:r>
      <w:r w:rsidRPr="00707928">
        <w:rPr>
          <w:rFonts w:asciiTheme="minorHAnsi" w:hAnsiTheme="minorHAnsi"/>
          <w:bCs/>
          <w:iCs/>
        </w:rPr>
        <w:t xml:space="preserve">s </w:t>
      </w:r>
      <w:r>
        <w:rPr>
          <w:rFonts w:asciiTheme="minorHAnsi" w:hAnsiTheme="minorHAnsi"/>
          <w:bCs/>
          <w:iCs/>
        </w:rPr>
        <w:t xml:space="preserve">particularly </w:t>
      </w:r>
      <w:r>
        <w:rPr>
          <w:rFonts w:asciiTheme="minorHAnsi" w:hAnsiTheme="minorHAnsi"/>
          <w:bCs/>
          <w:iCs/>
        </w:rPr>
        <w:lastRenderedPageBreak/>
        <w:t>unsatisfactorily drafted. This presumably</w:t>
      </w:r>
      <w:r w:rsidRPr="00707928">
        <w:rPr>
          <w:rFonts w:asciiTheme="minorHAnsi" w:hAnsiTheme="minorHAnsi"/>
          <w:bCs/>
          <w:iCs/>
        </w:rPr>
        <w:t xml:space="preserve"> refers to a possible recommendation of the Nurse Review that the Research Councils should be united into a single entity, not to replacing the dual (teaching</w:t>
      </w:r>
      <w:r>
        <w:rPr>
          <w:rFonts w:asciiTheme="minorHAnsi" w:hAnsiTheme="minorHAnsi"/>
          <w:bCs/>
          <w:iCs/>
        </w:rPr>
        <w:t xml:space="preserve"> and research) funding of HEFCE. The Question needs clarification, and in any case is redundant now the Nurse Review is available.</w:t>
      </w:r>
      <w:r w:rsidR="006D331C">
        <w:rPr>
          <w:rFonts w:asciiTheme="minorHAnsi" w:hAnsiTheme="minorHAnsi"/>
          <w:bCs/>
          <w:iCs/>
        </w:rPr>
        <w:t xml:space="preserve"> ‘Dual funding’ could also possibly be intended to refer to ‘teaching-and-research’ block grant funding. </w:t>
      </w:r>
      <w:r w:rsidR="006D331C">
        <w:rPr>
          <w:rFonts w:asciiTheme="minorHAnsi" w:hAnsiTheme="minorHAnsi"/>
        </w:rPr>
        <w:t>The Green paper states that:</w:t>
      </w:r>
    </w:p>
    <w:p w14:paraId="0D8C140F" w14:textId="77777777" w:rsidR="006D331C" w:rsidRPr="00F42FF2" w:rsidRDefault="006D331C" w:rsidP="006D331C">
      <w:pPr>
        <w:widowControl w:val="0"/>
        <w:autoSpaceDE w:val="0"/>
        <w:autoSpaceDN w:val="0"/>
        <w:adjustRightInd w:val="0"/>
        <w:spacing w:after="0" w:line="360" w:lineRule="auto"/>
        <w:jc w:val="both"/>
        <w:rPr>
          <w:rFonts w:cs="Arial"/>
          <w:i/>
          <w:color w:val="000000"/>
          <w:szCs w:val="24"/>
        </w:rPr>
      </w:pPr>
      <w:r w:rsidRPr="00F42FF2">
        <w:rPr>
          <w:rFonts w:cs="Arial"/>
          <w:i/>
          <w:color w:val="000000"/>
          <w:szCs w:val="24"/>
        </w:rPr>
        <w:t xml:space="preserve">We are committed to the retention of the dual support system as part of a reshaped research funding landscape, with university research funding continuing to be provided through institutional block grant, </w:t>
      </w:r>
    </w:p>
    <w:p w14:paraId="51EA2AF0" w14:textId="47B5F069" w:rsidR="006D331C" w:rsidRDefault="006D331C" w:rsidP="006D331C">
      <w:pPr>
        <w:pStyle w:val="Default"/>
        <w:spacing w:line="360" w:lineRule="auto"/>
        <w:jc w:val="both"/>
        <w:rPr>
          <w:rFonts w:asciiTheme="minorHAnsi" w:hAnsiTheme="minorHAnsi"/>
          <w:bCs/>
          <w:color w:val="3A3B3D"/>
        </w:rPr>
      </w:pPr>
      <w:r>
        <w:rPr>
          <w:rFonts w:asciiTheme="minorHAnsi" w:hAnsiTheme="minorHAnsi"/>
        </w:rPr>
        <w:t xml:space="preserve">But the future mechanism for the disbursement of block grant ‘R’ funding if OfS replaces HEFCE and OFFA remains unclear. This all betokens </w:t>
      </w:r>
      <w:r>
        <w:rPr>
          <w:rFonts w:asciiTheme="minorHAnsi" w:hAnsiTheme="minorHAnsi"/>
          <w:bCs/>
          <w:color w:val="3A3B3D"/>
        </w:rPr>
        <w:t xml:space="preserve">an overall lack of clarity about the comparability of the ‘Haldane buffer’ functions of HEFCE with the independence of Government envisaged for the Office for Students.  </w:t>
      </w:r>
    </w:p>
    <w:p w14:paraId="6A4379ED" w14:textId="77777777" w:rsidR="007D5D5C" w:rsidRDefault="007D5D5C" w:rsidP="007D5D5C">
      <w:pPr>
        <w:widowControl w:val="0"/>
        <w:tabs>
          <w:tab w:val="left" w:pos="220"/>
          <w:tab w:val="left" w:pos="720"/>
        </w:tabs>
        <w:autoSpaceDE w:val="0"/>
        <w:autoSpaceDN w:val="0"/>
        <w:adjustRightInd w:val="0"/>
        <w:spacing w:after="0" w:line="360" w:lineRule="auto"/>
        <w:rPr>
          <w:rFonts w:cs="Times"/>
          <w:i/>
          <w:color w:val="0B0B0B"/>
          <w:szCs w:val="24"/>
        </w:rPr>
      </w:pPr>
    </w:p>
    <w:p w14:paraId="39A95616" w14:textId="77777777" w:rsidR="007D5D5C" w:rsidRPr="002B03E6" w:rsidRDefault="007D5D5C" w:rsidP="007D5D5C">
      <w:pPr>
        <w:widowControl w:val="0"/>
        <w:tabs>
          <w:tab w:val="left" w:pos="220"/>
          <w:tab w:val="left" w:pos="720"/>
        </w:tabs>
        <w:autoSpaceDE w:val="0"/>
        <w:autoSpaceDN w:val="0"/>
        <w:adjustRightInd w:val="0"/>
        <w:spacing w:after="0" w:line="360" w:lineRule="auto"/>
        <w:jc w:val="both"/>
        <w:rPr>
          <w:rFonts w:cs="Times"/>
          <w:i/>
          <w:szCs w:val="24"/>
          <w:u w:val="single"/>
        </w:rPr>
      </w:pPr>
      <w:r w:rsidRPr="002B03E6">
        <w:rPr>
          <w:rFonts w:cs="Times"/>
          <w:i/>
          <w:szCs w:val="24"/>
          <w:u w:val="single"/>
        </w:rPr>
        <w:t>ii. a single regulatory framework for provider designation for student support and HEFCE teaching grant; iii. the adoption of a single gateway for entry to the higher education sector; iv. reforms to Degree Awarding Powers (DAPs) and University Title (UT) criteria</w:t>
      </w:r>
    </w:p>
    <w:p w14:paraId="30584D6E" w14:textId="77777777" w:rsidR="007D5D5C" w:rsidRPr="00257A8D" w:rsidRDefault="007D5D5C" w:rsidP="007D5D5C">
      <w:pPr>
        <w:widowControl w:val="0"/>
        <w:tabs>
          <w:tab w:val="left" w:pos="220"/>
          <w:tab w:val="left" w:pos="720"/>
        </w:tabs>
        <w:autoSpaceDE w:val="0"/>
        <w:autoSpaceDN w:val="0"/>
        <w:adjustRightInd w:val="0"/>
        <w:spacing w:after="0" w:line="360" w:lineRule="auto"/>
        <w:rPr>
          <w:rFonts w:cs="Times"/>
          <w:i/>
          <w:szCs w:val="24"/>
        </w:rPr>
      </w:pPr>
    </w:p>
    <w:p w14:paraId="469F3AB8" w14:textId="0546FFE7" w:rsidR="007D5D5C" w:rsidRPr="00257A8D" w:rsidRDefault="007D5D5C" w:rsidP="007D5D5C">
      <w:pPr>
        <w:pStyle w:val="Default"/>
        <w:spacing w:line="360" w:lineRule="auto"/>
        <w:jc w:val="both"/>
        <w:rPr>
          <w:rFonts w:asciiTheme="minorHAnsi" w:hAnsiTheme="minorHAnsi"/>
        </w:rPr>
      </w:pPr>
      <w:r>
        <w:rPr>
          <w:rFonts w:asciiTheme="minorHAnsi" w:hAnsiTheme="minorHAnsi" w:cs="Times"/>
        </w:rPr>
        <w:t>31</w:t>
      </w:r>
      <w:r w:rsidRPr="00257A8D">
        <w:rPr>
          <w:rFonts w:asciiTheme="minorHAnsi" w:hAnsiTheme="minorHAnsi" w:cs="Times"/>
        </w:rPr>
        <w:t>.  The OfS as planned would take over responsibility</w:t>
      </w:r>
      <w:r w:rsidR="006D331C">
        <w:rPr>
          <w:rFonts w:asciiTheme="minorHAnsi" w:hAnsiTheme="minorHAnsi" w:cs="Times"/>
        </w:rPr>
        <w:t xml:space="preserve"> under all three of these 2011 headings:</w:t>
      </w:r>
      <w:r w:rsidRPr="00257A8D">
        <w:rPr>
          <w:rFonts w:asciiTheme="minorHAnsi" w:hAnsiTheme="minorHAnsi" w:cs="Times"/>
        </w:rPr>
        <w:t xml:space="preserve"> for admitting new providers, granting degree-awarding powers  (though research degree awarding powers are not mentioned) and university title, also designating courses as eligible for student loan company funding.  The intention is that this should</w:t>
      </w:r>
      <w:r w:rsidR="006D331C">
        <w:rPr>
          <w:rFonts w:asciiTheme="minorHAnsi" w:hAnsiTheme="minorHAnsi" w:cs="Times"/>
        </w:rPr>
        <w:t xml:space="preserve"> all</w:t>
      </w:r>
      <w:r w:rsidRPr="00257A8D">
        <w:rPr>
          <w:rFonts w:asciiTheme="minorHAnsi" w:hAnsiTheme="minorHAnsi" w:cs="Times"/>
        </w:rPr>
        <w:t xml:space="preserve"> be ‘faster’ and involve ‘</w:t>
      </w:r>
      <w:r w:rsidRPr="00257A8D">
        <w:rPr>
          <w:rFonts w:asciiTheme="minorHAnsi" w:hAnsiTheme="minorHAnsi"/>
        </w:rPr>
        <w:t>much reduced regulation for those providers operating effectively’, though</w:t>
      </w:r>
      <w:r w:rsidR="006D331C">
        <w:rPr>
          <w:rFonts w:asciiTheme="minorHAnsi" w:hAnsiTheme="minorHAnsi"/>
        </w:rPr>
        <w:t xml:space="preserve"> paradoxically,</w:t>
      </w:r>
      <w:r w:rsidRPr="00257A8D">
        <w:rPr>
          <w:rFonts w:asciiTheme="minorHAnsi" w:hAnsiTheme="minorHAnsi"/>
        </w:rPr>
        <w:t xml:space="preserve"> with less checking that they are doing so.  New providers would have to sign up to ‘student protection’ requirements, though it is hard to see how a bankrupt or otherwise failed provider could implement student ‘protection’ once it ceased to operate.   The benefits of wider choice and greater diversity are cited as balancing this risk, but nothing is said about the fact that both add considerably to the difficulties applicants face, especially those from disadvantaged backgrounds, in knowing what to look for and </w:t>
      </w:r>
      <w:r w:rsidRPr="00257A8D">
        <w:rPr>
          <w:rFonts w:asciiTheme="minorHAnsi" w:hAnsiTheme="minorHAnsi"/>
        </w:rPr>
        <w:lastRenderedPageBreak/>
        <w:t xml:space="preserve">what questions to ask when selecting a provider.  The HEFCE </w:t>
      </w:r>
      <w:r w:rsidRPr="00257A8D">
        <w:rPr>
          <w:rFonts w:asciiTheme="minorHAnsi" w:hAnsiTheme="minorHAnsi"/>
          <w:i/>
        </w:rPr>
        <w:t>Register of HE Providers</w:t>
      </w:r>
      <w:r w:rsidRPr="00257A8D">
        <w:rPr>
          <w:rStyle w:val="FootnoteReference"/>
          <w:rFonts w:asciiTheme="minorHAnsi" w:hAnsiTheme="minorHAnsi"/>
          <w:i/>
        </w:rPr>
        <w:footnoteReference w:id="21"/>
      </w:r>
      <w:r w:rsidRPr="00257A8D">
        <w:rPr>
          <w:rFonts w:asciiTheme="minorHAnsi" w:hAnsiTheme="minorHAnsi"/>
        </w:rPr>
        <w:t xml:space="preserve"> has made a useful beginning  as a work of reference but it is intended for institutional use and not primarily for use by would-be students.</w:t>
      </w:r>
    </w:p>
    <w:p w14:paraId="659C82CD" w14:textId="77777777" w:rsidR="007D5D5C" w:rsidRDefault="007D5D5C" w:rsidP="007D5D5C">
      <w:pPr>
        <w:widowControl w:val="0"/>
        <w:autoSpaceDE w:val="0"/>
        <w:autoSpaceDN w:val="0"/>
        <w:adjustRightInd w:val="0"/>
        <w:spacing w:after="0" w:line="360" w:lineRule="auto"/>
        <w:jc w:val="both"/>
        <w:rPr>
          <w:rFonts w:cs="Arial"/>
          <w:color w:val="000000"/>
          <w:szCs w:val="24"/>
        </w:rPr>
      </w:pPr>
    </w:p>
    <w:p w14:paraId="4052EA22" w14:textId="77777777" w:rsidR="007D5D5C" w:rsidRDefault="007D5D5C" w:rsidP="007D5D5C">
      <w:pPr>
        <w:widowControl w:val="0"/>
        <w:autoSpaceDE w:val="0"/>
        <w:autoSpaceDN w:val="0"/>
        <w:adjustRightInd w:val="0"/>
        <w:spacing w:after="0" w:line="360" w:lineRule="auto"/>
        <w:jc w:val="both"/>
        <w:rPr>
          <w:rFonts w:cs="Arial"/>
          <w:color w:val="000000"/>
          <w:szCs w:val="24"/>
        </w:rPr>
      </w:pPr>
      <w:r>
        <w:rPr>
          <w:rFonts w:cs="Arial"/>
          <w:color w:val="000000"/>
          <w:szCs w:val="24"/>
        </w:rPr>
        <w:t xml:space="preserve">32. There is a list of changes which it is suggested would not require legislation, </w:t>
      </w:r>
      <w:r w:rsidRPr="002B03E6">
        <w:rPr>
          <w:rFonts w:cs="Arial"/>
          <w:color w:val="000000"/>
          <w:szCs w:val="24"/>
        </w:rPr>
        <w:t>including ‘alternative ways of obtaining assurances on quality and financial sustainability, without requiring new entrants to spend time building up a track record’; and ‘conditions under which Government should grant multi-year specific course designations’ to alternative providers.</w:t>
      </w:r>
      <w:r>
        <w:rPr>
          <w:rFonts w:cs="Arial"/>
          <w:color w:val="000000"/>
          <w:szCs w:val="24"/>
        </w:rPr>
        <w:t xml:space="preserve">  Less clear is how changes to Companies House ( university title) and Privy Council  (degree-awarding powers and university title) requirements might be made without amendment of legislation.</w:t>
      </w:r>
    </w:p>
    <w:p w14:paraId="0FD3E9C2" w14:textId="44FC45CB" w:rsidR="006D331C" w:rsidRPr="002B03E6" w:rsidRDefault="006D331C" w:rsidP="007D5D5C">
      <w:pPr>
        <w:widowControl w:val="0"/>
        <w:autoSpaceDE w:val="0"/>
        <w:autoSpaceDN w:val="0"/>
        <w:adjustRightInd w:val="0"/>
        <w:spacing w:after="0" w:line="360" w:lineRule="auto"/>
        <w:jc w:val="both"/>
        <w:rPr>
          <w:rFonts w:cs="Arial"/>
          <w:color w:val="000000"/>
          <w:szCs w:val="24"/>
        </w:rPr>
      </w:pPr>
      <w:r>
        <w:rPr>
          <w:rFonts w:cs="Arial"/>
          <w:color w:val="000000"/>
          <w:szCs w:val="24"/>
        </w:rPr>
        <w:t>The apparent intention to scrap the carefully-crafted and tested requirements currently fulfilled through the processes managed by the QAA seems clear in the failure of the Green Paper to mention these at all.</w:t>
      </w:r>
    </w:p>
    <w:p w14:paraId="47ECF743" w14:textId="77777777" w:rsidR="007D5D5C" w:rsidRDefault="007D5D5C" w:rsidP="007D5D5C">
      <w:pPr>
        <w:widowControl w:val="0"/>
        <w:tabs>
          <w:tab w:val="left" w:pos="220"/>
          <w:tab w:val="left" w:pos="720"/>
        </w:tabs>
        <w:autoSpaceDE w:val="0"/>
        <w:autoSpaceDN w:val="0"/>
        <w:adjustRightInd w:val="0"/>
        <w:spacing w:after="0" w:line="360" w:lineRule="auto"/>
        <w:rPr>
          <w:rFonts w:cs="Times"/>
          <w:i/>
          <w:color w:val="0B0B0B"/>
          <w:szCs w:val="24"/>
        </w:rPr>
      </w:pPr>
    </w:p>
    <w:p w14:paraId="49586F81" w14:textId="6BDAE9E9" w:rsidR="00F77E2B" w:rsidRDefault="007D5D5C" w:rsidP="00F77E2B">
      <w:pPr>
        <w:widowControl w:val="0"/>
        <w:tabs>
          <w:tab w:val="left" w:pos="220"/>
          <w:tab w:val="left" w:pos="720"/>
        </w:tabs>
        <w:autoSpaceDE w:val="0"/>
        <w:autoSpaceDN w:val="0"/>
        <w:adjustRightInd w:val="0"/>
        <w:spacing w:after="0" w:line="360" w:lineRule="auto"/>
        <w:rPr>
          <w:rFonts w:cs="Times"/>
          <w:i/>
          <w:color w:val="0B0B0B"/>
          <w:szCs w:val="24"/>
          <w:u w:val="single"/>
        </w:rPr>
      </w:pPr>
      <w:r>
        <w:rPr>
          <w:rFonts w:cs="Times"/>
          <w:i/>
          <w:color w:val="0B0B0B"/>
          <w:szCs w:val="24"/>
        </w:rPr>
        <w:t>v. ‘</w:t>
      </w:r>
      <w:r w:rsidRPr="002B03E6">
        <w:rPr>
          <w:rFonts w:cs="Times"/>
          <w:i/>
          <w:color w:val="0B0B0B"/>
          <w:szCs w:val="24"/>
          <w:u w:val="single"/>
        </w:rPr>
        <w:t>Simplifying the process for changing corporate status</w:t>
      </w:r>
      <w:r>
        <w:rPr>
          <w:rFonts w:cs="Times"/>
          <w:i/>
          <w:color w:val="0B0B0B"/>
          <w:szCs w:val="24"/>
          <w:u w:val="single"/>
        </w:rPr>
        <w:t>’ and reducing the  number of public bodies in the sector</w:t>
      </w:r>
    </w:p>
    <w:p w14:paraId="3743A2B0" w14:textId="77777777" w:rsidR="00F77E2B" w:rsidRPr="00F77E2B" w:rsidRDefault="00F77E2B" w:rsidP="00F77E2B">
      <w:pPr>
        <w:widowControl w:val="0"/>
        <w:tabs>
          <w:tab w:val="left" w:pos="220"/>
          <w:tab w:val="left" w:pos="720"/>
        </w:tabs>
        <w:autoSpaceDE w:val="0"/>
        <w:autoSpaceDN w:val="0"/>
        <w:adjustRightInd w:val="0"/>
        <w:spacing w:after="0" w:line="360" w:lineRule="auto"/>
        <w:rPr>
          <w:rFonts w:cs="Times"/>
          <w:i/>
          <w:color w:val="0B0B0B"/>
          <w:szCs w:val="24"/>
          <w:u w:val="single"/>
        </w:rPr>
      </w:pPr>
    </w:p>
    <w:p w14:paraId="60BA8BBE" w14:textId="77777777" w:rsidR="00F77E2B" w:rsidRDefault="00F77E2B" w:rsidP="00F77E2B">
      <w:pPr>
        <w:pStyle w:val="NormalWeb"/>
        <w:spacing w:before="0" w:beforeAutospacing="0" w:after="0" w:afterAutospacing="0" w:line="360" w:lineRule="auto"/>
        <w:jc w:val="both"/>
        <w:rPr>
          <w:rFonts w:asciiTheme="minorHAnsi" w:hAnsiTheme="minorHAnsi" w:cs="Arial"/>
          <w:i/>
          <w:sz w:val="24"/>
          <w:szCs w:val="24"/>
        </w:rPr>
      </w:pPr>
      <w:r w:rsidRPr="000F041F">
        <w:rPr>
          <w:rFonts w:asciiTheme="minorHAnsi" w:hAnsiTheme="minorHAnsi" w:cs="Arial"/>
          <w:i/>
          <w:sz w:val="24"/>
          <w:szCs w:val="24"/>
        </w:rPr>
        <w:t>What is a ‘public body’ for higher education purposes?</w:t>
      </w:r>
    </w:p>
    <w:p w14:paraId="484C6ECE" w14:textId="77777777" w:rsidR="00F77E2B" w:rsidRDefault="00F77E2B" w:rsidP="00F77E2B">
      <w:pPr>
        <w:widowControl w:val="0"/>
        <w:autoSpaceDE w:val="0"/>
        <w:autoSpaceDN w:val="0"/>
        <w:adjustRightInd w:val="0"/>
        <w:spacing w:after="0" w:line="360" w:lineRule="auto"/>
        <w:jc w:val="both"/>
        <w:rPr>
          <w:rFonts w:cs="Arial"/>
          <w:szCs w:val="24"/>
        </w:rPr>
      </w:pPr>
    </w:p>
    <w:p w14:paraId="7C2DB48C" w14:textId="4FDBAC89" w:rsidR="00F77E2B" w:rsidRDefault="00F77E2B" w:rsidP="00F77E2B">
      <w:pPr>
        <w:widowControl w:val="0"/>
        <w:autoSpaceDE w:val="0"/>
        <w:autoSpaceDN w:val="0"/>
        <w:adjustRightInd w:val="0"/>
        <w:spacing w:after="0" w:line="360" w:lineRule="auto"/>
        <w:jc w:val="both"/>
        <w:rPr>
          <w:rFonts w:cs="Arial"/>
          <w:szCs w:val="24"/>
        </w:rPr>
      </w:pPr>
      <w:r>
        <w:rPr>
          <w:rFonts w:cs="Times"/>
          <w:color w:val="0B0B0B"/>
          <w:szCs w:val="24"/>
        </w:rPr>
        <w:t xml:space="preserve">33. </w:t>
      </w:r>
      <w:r w:rsidRPr="00537D7B">
        <w:rPr>
          <w:rFonts w:cs="Times"/>
          <w:color w:val="0B0B0B"/>
          <w:szCs w:val="24"/>
        </w:rPr>
        <w:t xml:space="preserve">The Green Paper </w:t>
      </w:r>
      <w:r w:rsidRPr="00537D7B">
        <w:rPr>
          <w:bCs/>
          <w:szCs w:val="24"/>
        </w:rPr>
        <w:t>promises to reduce</w:t>
      </w:r>
      <w:r w:rsidRPr="00537D7B">
        <w:rPr>
          <w:szCs w:val="24"/>
        </w:rPr>
        <w:t xml:space="preserve"> ‘the number of public bodies in the sector’ (Green Paper, Foreword).  </w:t>
      </w:r>
      <w:r w:rsidRPr="00182F97">
        <w:rPr>
          <w:rFonts w:cs="Arial"/>
          <w:szCs w:val="24"/>
        </w:rPr>
        <w:t>The Green Paper argues that since existing universities no longer have their  income ‘principally from direct grant’, and ‘tuition fee income is not treated as public funding’</w:t>
      </w:r>
      <w:r>
        <w:rPr>
          <w:rFonts w:cs="Arial"/>
          <w:szCs w:val="24"/>
        </w:rPr>
        <w:t>,</w:t>
      </w:r>
      <w:r w:rsidRPr="00182F97">
        <w:rPr>
          <w:rFonts w:cs="Arial"/>
          <w:szCs w:val="24"/>
        </w:rPr>
        <w:t xml:space="preserve"> they should no long</w:t>
      </w:r>
      <w:r>
        <w:rPr>
          <w:rFonts w:cs="Arial"/>
          <w:szCs w:val="24"/>
        </w:rPr>
        <w:t>er be treated as public bodies:</w:t>
      </w:r>
    </w:p>
    <w:p w14:paraId="00745F5E" w14:textId="77777777" w:rsidR="00F77E2B" w:rsidRDefault="00F77E2B" w:rsidP="00F77E2B">
      <w:pPr>
        <w:widowControl w:val="0"/>
        <w:autoSpaceDE w:val="0"/>
        <w:autoSpaceDN w:val="0"/>
        <w:adjustRightInd w:val="0"/>
        <w:spacing w:after="0" w:line="360" w:lineRule="auto"/>
        <w:jc w:val="both"/>
        <w:rPr>
          <w:rFonts w:cs="Arial"/>
          <w:i/>
          <w:color w:val="000000"/>
          <w:szCs w:val="24"/>
        </w:rPr>
      </w:pPr>
      <w:r w:rsidRPr="00182F97">
        <w:rPr>
          <w:rFonts w:cs="Arial"/>
          <w:szCs w:val="24"/>
        </w:rPr>
        <w:t>‘</w:t>
      </w:r>
      <w:r w:rsidRPr="00182F97">
        <w:rPr>
          <w:rFonts w:cs="Arial"/>
          <w:i/>
          <w:color w:val="000000"/>
          <w:szCs w:val="24"/>
        </w:rPr>
        <w:t>There are a number of requirements placed on HEFCE-funded providers which do not apply to alternative providers. Many derive from treating HEFCE-funded providers as ‘public bodies’.</w:t>
      </w:r>
    </w:p>
    <w:p w14:paraId="0B7B3A0C" w14:textId="6718D0E6" w:rsidR="00F77E2B" w:rsidRPr="00182F97" w:rsidRDefault="00F77E2B" w:rsidP="00F77E2B">
      <w:pPr>
        <w:widowControl w:val="0"/>
        <w:autoSpaceDE w:val="0"/>
        <w:autoSpaceDN w:val="0"/>
        <w:adjustRightInd w:val="0"/>
        <w:spacing w:after="0" w:line="360" w:lineRule="auto"/>
        <w:jc w:val="both"/>
        <w:rPr>
          <w:rFonts w:cs="Arial"/>
          <w:szCs w:val="24"/>
        </w:rPr>
      </w:pPr>
      <w:r w:rsidRPr="00182F97">
        <w:rPr>
          <w:rFonts w:cs="Arial"/>
          <w:szCs w:val="24"/>
        </w:rPr>
        <w:t>‘For example, the cost to providers of being within the scope of the Freedom of Information Act is est</w:t>
      </w:r>
      <w:r>
        <w:rPr>
          <w:rFonts w:cs="Arial"/>
          <w:szCs w:val="24"/>
        </w:rPr>
        <w:t xml:space="preserve">imated at around £10m per year.’ This approach hints at some </w:t>
      </w:r>
      <w:r>
        <w:rPr>
          <w:rFonts w:cs="Arial"/>
          <w:szCs w:val="24"/>
        </w:rPr>
        <w:lastRenderedPageBreak/>
        <w:t>confusion between the receipt of public funding and legal classification as a public body.</w:t>
      </w:r>
    </w:p>
    <w:p w14:paraId="116E87E0" w14:textId="77777777" w:rsidR="00F77E2B" w:rsidRPr="000F041F" w:rsidRDefault="00F77E2B" w:rsidP="00F77E2B">
      <w:pPr>
        <w:pStyle w:val="NormalWeb"/>
        <w:spacing w:before="0" w:beforeAutospacing="0" w:after="0" w:afterAutospacing="0" w:line="360" w:lineRule="auto"/>
        <w:jc w:val="both"/>
        <w:rPr>
          <w:rFonts w:asciiTheme="minorHAnsi" w:hAnsiTheme="minorHAnsi" w:cs="Arial"/>
          <w:i/>
          <w:sz w:val="24"/>
          <w:szCs w:val="24"/>
        </w:rPr>
      </w:pPr>
    </w:p>
    <w:p w14:paraId="585F4D1D" w14:textId="5C7D67D0" w:rsidR="00F77E2B" w:rsidRDefault="00F77E2B" w:rsidP="00F77E2B">
      <w:pPr>
        <w:pStyle w:val="NormalWeb"/>
        <w:spacing w:before="0" w:beforeAutospacing="0" w:after="0" w:afterAutospacing="0" w:line="360" w:lineRule="auto"/>
        <w:jc w:val="both"/>
        <w:rPr>
          <w:rFonts w:asciiTheme="minorHAnsi" w:hAnsiTheme="minorHAnsi"/>
          <w:sz w:val="24"/>
          <w:szCs w:val="24"/>
        </w:rPr>
      </w:pPr>
      <w:r w:rsidRPr="00537D7B">
        <w:rPr>
          <w:rFonts w:asciiTheme="minorHAnsi" w:hAnsiTheme="minorHAnsi" w:cs="Times"/>
          <w:color w:val="0B0B0B"/>
          <w:sz w:val="24"/>
          <w:szCs w:val="24"/>
        </w:rPr>
        <w:t xml:space="preserve"> </w:t>
      </w:r>
      <w:r>
        <w:rPr>
          <w:rFonts w:asciiTheme="minorHAnsi" w:hAnsiTheme="minorHAnsi" w:cs="Times"/>
          <w:color w:val="0B0B0B"/>
          <w:sz w:val="24"/>
          <w:szCs w:val="24"/>
        </w:rPr>
        <w:t xml:space="preserve">34. </w:t>
      </w:r>
      <w:r>
        <w:rPr>
          <w:rFonts w:asciiTheme="minorHAnsi" w:hAnsiTheme="minorHAnsi"/>
          <w:sz w:val="24"/>
          <w:szCs w:val="24"/>
        </w:rPr>
        <w:t xml:space="preserve"> While i</w:t>
      </w:r>
      <w:r w:rsidRPr="00537D7B">
        <w:rPr>
          <w:rFonts w:asciiTheme="minorHAnsi" w:hAnsiTheme="minorHAnsi"/>
          <w:sz w:val="24"/>
          <w:szCs w:val="24"/>
        </w:rPr>
        <w:t xml:space="preserve">t is not clear what the authors of the </w:t>
      </w:r>
      <w:r>
        <w:rPr>
          <w:rFonts w:asciiTheme="minorHAnsi" w:hAnsiTheme="minorHAnsi"/>
          <w:sz w:val="24"/>
          <w:szCs w:val="24"/>
        </w:rPr>
        <w:t xml:space="preserve"> Green Paper  </w:t>
      </w:r>
      <w:r w:rsidRPr="00537D7B">
        <w:rPr>
          <w:rFonts w:asciiTheme="minorHAnsi" w:hAnsiTheme="minorHAnsi"/>
          <w:sz w:val="24"/>
          <w:szCs w:val="24"/>
        </w:rPr>
        <w:t xml:space="preserve">deem to be a ‘public body’ for the purposes of the </w:t>
      </w:r>
      <w:r>
        <w:rPr>
          <w:rFonts w:asciiTheme="minorHAnsi" w:hAnsiTheme="minorHAnsi"/>
          <w:sz w:val="24"/>
          <w:szCs w:val="24"/>
        </w:rPr>
        <w:t>provision of higher education, t</w:t>
      </w:r>
      <w:r w:rsidRPr="00537D7B">
        <w:rPr>
          <w:rFonts w:asciiTheme="minorHAnsi" w:hAnsiTheme="minorHAnsi"/>
          <w:sz w:val="24"/>
          <w:szCs w:val="24"/>
        </w:rPr>
        <w:t>his is</w:t>
      </w:r>
      <w:r>
        <w:rPr>
          <w:rFonts w:asciiTheme="minorHAnsi" w:hAnsiTheme="minorHAnsi"/>
          <w:sz w:val="24"/>
          <w:szCs w:val="24"/>
        </w:rPr>
        <w:t>, in fairness,</w:t>
      </w:r>
      <w:r w:rsidRPr="00537D7B">
        <w:rPr>
          <w:rFonts w:asciiTheme="minorHAnsi" w:hAnsiTheme="minorHAnsi"/>
          <w:sz w:val="24"/>
          <w:szCs w:val="24"/>
        </w:rPr>
        <w:t xml:space="preserve"> not at all a straightforward matter. </w:t>
      </w:r>
      <w:r>
        <w:rPr>
          <w:rFonts w:asciiTheme="minorHAnsi" w:hAnsiTheme="minorHAnsi"/>
          <w:sz w:val="24"/>
          <w:szCs w:val="24"/>
        </w:rPr>
        <w:t>The Cabinet Office admits that ‘</w:t>
      </w:r>
      <w:r>
        <w:rPr>
          <w:rFonts w:asciiTheme="minorHAnsi" w:hAnsiTheme="minorHAnsi" w:cs="Arial"/>
          <w:sz w:val="24"/>
          <w:szCs w:val="24"/>
        </w:rPr>
        <w:t>p</w:t>
      </w:r>
      <w:r w:rsidRPr="000F041F">
        <w:rPr>
          <w:rFonts w:asciiTheme="minorHAnsi" w:hAnsiTheme="minorHAnsi" w:cs="Arial"/>
          <w:sz w:val="24"/>
          <w:szCs w:val="24"/>
        </w:rPr>
        <w:t>ublic bodies are diverse, which means classification is not always a simple process</w:t>
      </w:r>
      <w:r>
        <w:rPr>
          <w:rFonts w:asciiTheme="minorHAnsi" w:hAnsiTheme="minorHAnsi" w:cs="Arial"/>
          <w:sz w:val="24"/>
          <w:szCs w:val="24"/>
        </w:rPr>
        <w:t>’</w:t>
      </w:r>
      <w:r w:rsidRPr="000F041F">
        <w:rPr>
          <w:rFonts w:asciiTheme="minorHAnsi" w:hAnsiTheme="minorHAnsi" w:cs="Arial"/>
          <w:sz w:val="24"/>
          <w:szCs w:val="24"/>
        </w:rPr>
        <w:t>.</w:t>
      </w:r>
      <w:r w:rsidRPr="000F041F">
        <w:rPr>
          <w:rStyle w:val="FootnoteReference"/>
          <w:rFonts w:asciiTheme="minorHAnsi" w:hAnsiTheme="minorHAnsi"/>
          <w:sz w:val="24"/>
          <w:szCs w:val="24"/>
        </w:rPr>
        <w:t xml:space="preserve"> </w:t>
      </w:r>
      <w:r>
        <w:rPr>
          <w:rStyle w:val="FootnoteReference"/>
          <w:rFonts w:asciiTheme="minorHAnsi" w:hAnsiTheme="minorHAnsi"/>
          <w:sz w:val="24"/>
          <w:szCs w:val="24"/>
        </w:rPr>
        <w:t xml:space="preserve"> </w:t>
      </w:r>
      <w:r>
        <w:rPr>
          <w:rStyle w:val="FootnoteReference"/>
          <w:rFonts w:asciiTheme="minorHAnsi" w:hAnsiTheme="minorHAnsi"/>
          <w:sz w:val="24"/>
          <w:szCs w:val="24"/>
        </w:rPr>
        <w:footnoteReference w:id="22"/>
      </w:r>
    </w:p>
    <w:p w14:paraId="5B1E4496" w14:textId="11361BA0" w:rsidR="00F77E2B" w:rsidRDefault="00F77E2B" w:rsidP="00F77E2B">
      <w:pPr>
        <w:pStyle w:val="NormalWeb"/>
        <w:spacing w:line="360" w:lineRule="auto"/>
        <w:jc w:val="both"/>
        <w:rPr>
          <w:rFonts w:asciiTheme="minorHAnsi" w:hAnsiTheme="minorHAnsi"/>
          <w:sz w:val="24"/>
          <w:szCs w:val="24"/>
        </w:rPr>
      </w:pPr>
      <w:r>
        <w:rPr>
          <w:rFonts w:asciiTheme="minorHAnsi" w:hAnsiTheme="minorHAnsi"/>
          <w:sz w:val="24"/>
          <w:szCs w:val="24"/>
        </w:rPr>
        <w:t>35. Universities app</w:t>
      </w:r>
      <w:r w:rsidRPr="00990CE1">
        <w:rPr>
          <w:rFonts w:asciiTheme="minorHAnsi" w:hAnsiTheme="minorHAnsi"/>
          <w:sz w:val="24"/>
          <w:szCs w:val="24"/>
        </w:rPr>
        <w:t xml:space="preserve">ear to be public bodies only in certain limited respects. For purposes of litigation a student complaint will normally be considered a public law matter whereas an employee must sue in the private law arena. </w:t>
      </w:r>
    </w:p>
    <w:p w14:paraId="13D92B0B" w14:textId="5C1A1874" w:rsidR="00F77E2B" w:rsidRDefault="00F77E2B" w:rsidP="00F77E2B">
      <w:pPr>
        <w:pStyle w:val="NormalWeb"/>
        <w:spacing w:line="360" w:lineRule="auto"/>
        <w:jc w:val="both"/>
        <w:rPr>
          <w:rFonts w:asciiTheme="minorHAnsi" w:hAnsiTheme="minorHAnsi" w:cs="Arial"/>
          <w:sz w:val="24"/>
          <w:szCs w:val="24"/>
        </w:rPr>
      </w:pPr>
      <w:r>
        <w:rPr>
          <w:rFonts w:asciiTheme="minorHAnsi" w:hAnsiTheme="minorHAnsi"/>
          <w:sz w:val="24"/>
          <w:szCs w:val="24"/>
        </w:rPr>
        <w:t xml:space="preserve">36. </w:t>
      </w:r>
      <w:r w:rsidRPr="00990CE1">
        <w:rPr>
          <w:rFonts w:asciiTheme="minorHAnsi" w:hAnsiTheme="minorHAnsi"/>
          <w:sz w:val="24"/>
          <w:szCs w:val="24"/>
        </w:rPr>
        <w:t>The Freedom of Information Act 3 (1) defines a ‘public authority’ as a body listed in Schedule I.  This includes universities ‘</w:t>
      </w:r>
      <w:r w:rsidRPr="00990CE1">
        <w:rPr>
          <w:rFonts w:asciiTheme="minorHAnsi" w:hAnsiTheme="minorHAnsi" w:cs="Arial"/>
          <w:sz w:val="24"/>
          <w:szCs w:val="24"/>
        </w:rPr>
        <w:t xml:space="preserve">receiving financial support under section 65 of the Further and Higher Education Act 1992’, </w:t>
      </w:r>
      <w:r w:rsidRPr="00990CE1">
        <w:rPr>
          <w:rFonts w:asciiTheme="minorHAnsi" w:hAnsiTheme="minorHAnsi"/>
          <w:sz w:val="24"/>
          <w:szCs w:val="24"/>
        </w:rPr>
        <w:t xml:space="preserve">and  institutions </w:t>
      </w:r>
      <w:r w:rsidRPr="00990CE1">
        <w:rPr>
          <w:rFonts w:asciiTheme="minorHAnsi" w:hAnsiTheme="minorHAnsi" w:cs="Arial"/>
          <w:sz w:val="24"/>
          <w:szCs w:val="24"/>
        </w:rPr>
        <w:t xml:space="preserve"> ‘within the further education sector’, institutions ‘conducted by a higher education corporation’, and desgnated institutions’ ‘for the purposes of Part II of the Further and Higher Education Act 1992 as defined by section 72(3) of that Act, or any college, school, hall or other institution of a university [as defined].</w:t>
      </w:r>
      <w:r>
        <w:rPr>
          <w:rFonts w:asciiTheme="minorHAnsi" w:hAnsiTheme="minorHAnsi" w:cs="Arial"/>
          <w:sz w:val="24"/>
          <w:szCs w:val="24"/>
        </w:rPr>
        <w:t xml:space="preserve">  Under the Act </w:t>
      </w:r>
      <w:r>
        <w:rPr>
          <w:rFonts w:asciiTheme="minorHAnsi" w:hAnsiTheme="minorHAnsi"/>
          <w:sz w:val="24"/>
          <w:szCs w:val="24"/>
        </w:rPr>
        <w:t>a</w:t>
      </w:r>
      <w:r w:rsidRPr="00990CE1">
        <w:rPr>
          <w:rFonts w:asciiTheme="minorHAnsi" w:hAnsiTheme="minorHAnsi"/>
          <w:sz w:val="24"/>
          <w:szCs w:val="24"/>
        </w:rPr>
        <w:t xml:space="preserve"> publicly-owned company includes ‘</w:t>
      </w:r>
      <w:r w:rsidRPr="00990CE1">
        <w:rPr>
          <w:rFonts w:asciiTheme="minorHAnsi" w:hAnsiTheme="minorHAnsi" w:cs="Arial"/>
          <w:sz w:val="24"/>
          <w:szCs w:val="24"/>
        </w:rPr>
        <w:t xml:space="preserve">an institution conducted by a higher education corporation’ </w:t>
      </w:r>
      <w:r>
        <w:rPr>
          <w:rFonts w:asciiTheme="minorHAnsi" w:hAnsiTheme="minorHAnsi" w:cs="Arial"/>
          <w:sz w:val="24"/>
          <w:szCs w:val="24"/>
        </w:rPr>
        <w:t>if wholly-owned.  For example, Coventry University College is such a company of Coventry University.</w:t>
      </w:r>
    </w:p>
    <w:p w14:paraId="333A17FE" w14:textId="7B2F3EAA" w:rsidR="00F77E2B" w:rsidRPr="00990CE1" w:rsidRDefault="00F77E2B" w:rsidP="00F77E2B">
      <w:pPr>
        <w:pStyle w:val="NormalWeb"/>
        <w:spacing w:line="360" w:lineRule="auto"/>
        <w:jc w:val="both"/>
        <w:rPr>
          <w:rFonts w:asciiTheme="minorHAnsi" w:hAnsiTheme="minorHAnsi" w:cs="Arial"/>
          <w:sz w:val="24"/>
          <w:szCs w:val="24"/>
        </w:rPr>
      </w:pPr>
      <w:r>
        <w:rPr>
          <w:rFonts w:asciiTheme="minorHAnsi" w:hAnsiTheme="minorHAnsi" w:cs="Arial"/>
          <w:sz w:val="24"/>
          <w:szCs w:val="24"/>
        </w:rPr>
        <w:t xml:space="preserve">37. As just noted, one of the possibilities mentioned by the Green Paper is to remove higher education institutions from this FOIA list in order to create a </w:t>
      </w:r>
      <w:r w:rsidR="00012250">
        <w:rPr>
          <w:rFonts w:asciiTheme="minorHAnsi" w:hAnsiTheme="minorHAnsi" w:cs="Arial"/>
          <w:sz w:val="24"/>
          <w:szCs w:val="24"/>
        </w:rPr>
        <w:t>‘</w:t>
      </w:r>
      <w:r>
        <w:rPr>
          <w:rFonts w:asciiTheme="minorHAnsi" w:hAnsiTheme="minorHAnsi" w:cs="Arial"/>
          <w:sz w:val="24"/>
          <w:szCs w:val="24"/>
        </w:rPr>
        <w:t>level playing field</w:t>
      </w:r>
      <w:r w:rsidR="00012250">
        <w:rPr>
          <w:rFonts w:asciiTheme="minorHAnsi" w:hAnsiTheme="minorHAnsi" w:cs="Arial"/>
          <w:sz w:val="24"/>
          <w:szCs w:val="24"/>
        </w:rPr>
        <w:t xml:space="preserve">’ </w:t>
      </w:r>
      <w:r>
        <w:rPr>
          <w:rFonts w:asciiTheme="minorHAnsi" w:hAnsiTheme="minorHAnsi" w:cs="Arial"/>
          <w:sz w:val="24"/>
          <w:szCs w:val="24"/>
        </w:rPr>
        <w:t xml:space="preserve">in that respect with private providers, which are not in this context ‘public bodies’. </w:t>
      </w:r>
      <w:r w:rsidR="00012250">
        <w:rPr>
          <w:rFonts w:asciiTheme="minorHAnsi" w:hAnsiTheme="minorHAnsi" w:cs="Arial"/>
          <w:sz w:val="24"/>
          <w:szCs w:val="24"/>
        </w:rPr>
        <w:t xml:space="preserve">It </w:t>
      </w:r>
      <w:r>
        <w:rPr>
          <w:rFonts w:asciiTheme="minorHAnsi" w:hAnsiTheme="minorHAnsi" w:cs="Arial"/>
          <w:sz w:val="24"/>
          <w:szCs w:val="24"/>
        </w:rPr>
        <w:t xml:space="preserve">is by no means clear what this would achieve beyond making </w:t>
      </w:r>
      <w:r w:rsidR="00012250">
        <w:rPr>
          <w:rFonts w:asciiTheme="minorHAnsi" w:hAnsiTheme="minorHAnsi" w:cs="Arial"/>
          <w:sz w:val="24"/>
          <w:szCs w:val="24"/>
        </w:rPr>
        <w:t xml:space="preserve">all </w:t>
      </w:r>
      <w:r>
        <w:rPr>
          <w:rFonts w:asciiTheme="minorHAnsi" w:hAnsiTheme="minorHAnsi" w:cs="Arial"/>
          <w:sz w:val="24"/>
          <w:szCs w:val="24"/>
        </w:rPr>
        <w:t>providers less accountable.</w:t>
      </w:r>
    </w:p>
    <w:p w14:paraId="56B73B85" w14:textId="5F8AE103" w:rsidR="00F77E2B" w:rsidRPr="00990CE1" w:rsidRDefault="00F77E2B" w:rsidP="00F77E2B">
      <w:pPr>
        <w:widowControl w:val="0"/>
        <w:autoSpaceDE w:val="0"/>
        <w:autoSpaceDN w:val="0"/>
        <w:adjustRightInd w:val="0"/>
        <w:spacing w:after="0" w:line="360" w:lineRule="auto"/>
        <w:jc w:val="both"/>
        <w:rPr>
          <w:rFonts w:cs="Arial"/>
          <w:szCs w:val="24"/>
        </w:rPr>
      </w:pPr>
      <w:r>
        <w:rPr>
          <w:rFonts w:cs="Arial"/>
          <w:szCs w:val="24"/>
        </w:rPr>
        <w:lastRenderedPageBreak/>
        <w:t xml:space="preserve">38. </w:t>
      </w:r>
      <w:r w:rsidRPr="005F650F">
        <w:rPr>
          <w:rFonts w:cs="Arial"/>
          <w:szCs w:val="24"/>
        </w:rPr>
        <w:t xml:space="preserve">The Cabinet Office </w:t>
      </w:r>
      <w:r>
        <w:rPr>
          <w:rFonts w:cs="Arial"/>
          <w:szCs w:val="24"/>
        </w:rPr>
        <w:t xml:space="preserve">has provided guidance for Departments considering </w:t>
      </w:r>
      <w:r>
        <w:rPr>
          <w:szCs w:val="24"/>
        </w:rPr>
        <w:t>s</w:t>
      </w:r>
      <w:r w:rsidRPr="005F650F">
        <w:rPr>
          <w:szCs w:val="24"/>
        </w:rPr>
        <w:t>etting up a</w:t>
      </w:r>
      <w:r w:rsidRPr="00537D7B">
        <w:rPr>
          <w:szCs w:val="24"/>
        </w:rPr>
        <w:t xml:space="preserve"> new </w:t>
      </w:r>
      <w:r>
        <w:rPr>
          <w:szCs w:val="24"/>
        </w:rPr>
        <w:t>‘</w:t>
      </w:r>
      <w:r w:rsidRPr="00537D7B">
        <w:rPr>
          <w:szCs w:val="24"/>
        </w:rPr>
        <w:t>public body</w:t>
      </w:r>
      <w:r>
        <w:rPr>
          <w:szCs w:val="24"/>
        </w:rPr>
        <w:t>’</w:t>
      </w:r>
      <w:r w:rsidRPr="00537D7B">
        <w:rPr>
          <w:szCs w:val="24"/>
        </w:rPr>
        <w:t xml:space="preserve"> as an arm of government</w:t>
      </w:r>
      <w:r>
        <w:rPr>
          <w:szCs w:val="24"/>
        </w:rPr>
        <w:t>.</w:t>
      </w:r>
      <w:r w:rsidRPr="00537D7B">
        <w:rPr>
          <w:rStyle w:val="FootnoteReference"/>
          <w:szCs w:val="24"/>
        </w:rPr>
        <w:footnoteReference w:id="23"/>
      </w:r>
      <w:r>
        <w:rPr>
          <w:szCs w:val="24"/>
        </w:rPr>
        <w:t xml:space="preserve"> </w:t>
      </w:r>
      <w:r w:rsidRPr="00537D7B">
        <w:rPr>
          <w:rFonts w:cs="Times"/>
          <w:color w:val="0B0B0B"/>
          <w:szCs w:val="24"/>
        </w:rPr>
        <w:t xml:space="preserve">Cabinet Office guidance on </w:t>
      </w:r>
      <w:r w:rsidRPr="00F77E2B">
        <w:rPr>
          <w:rFonts w:cs="Arial"/>
          <w:bCs/>
          <w:i/>
          <w:szCs w:val="24"/>
        </w:rPr>
        <w:t>Setting up a new public body - the legislative requirements</w:t>
      </w:r>
      <w:r w:rsidRPr="00537D7B">
        <w:rPr>
          <w:rFonts w:cs="Arial"/>
          <w:bCs/>
          <w:szCs w:val="24"/>
        </w:rPr>
        <w:t xml:space="preserve"> </w:t>
      </w:r>
      <w:r>
        <w:rPr>
          <w:rFonts w:cs="Arial"/>
          <w:bCs/>
          <w:szCs w:val="24"/>
        </w:rPr>
        <w:t>shows how difficult this is.</w:t>
      </w:r>
      <w:r w:rsidRPr="00537D7B">
        <w:rPr>
          <w:rStyle w:val="FootnoteReference"/>
          <w:rFonts w:cs="Arial"/>
          <w:bCs/>
          <w:szCs w:val="24"/>
        </w:rPr>
        <w:footnoteReference w:id="24"/>
      </w:r>
      <w:r w:rsidRPr="00537D7B">
        <w:rPr>
          <w:rFonts w:cs="Times"/>
          <w:color w:val="0B0B0B"/>
          <w:szCs w:val="24"/>
        </w:rPr>
        <w:t xml:space="preserve"> </w:t>
      </w:r>
      <w:r w:rsidRPr="00537D7B">
        <w:rPr>
          <w:rFonts w:cs="Arial"/>
          <w:szCs w:val="24"/>
        </w:rPr>
        <w:t>Classification of public bodies was rethought in 2012</w:t>
      </w:r>
      <w:r>
        <w:rPr>
          <w:rFonts w:cs="Arial"/>
          <w:szCs w:val="24"/>
        </w:rPr>
        <w:t>.</w:t>
      </w:r>
      <w:r w:rsidRPr="00537D7B">
        <w:rPr>
          <w:rStyle w:val="FootnoteReference"/>
          <w:rFonts w:cs="Arial"/>
          <w:szCs w:val="24"/>
        </w:rPr>
        <w:footnoteReference w:id="25"/>
      </w:r>
      <w:r>
        <w:rPr>
          <w:rFonts w:cs="Arial"/>
          <w:color w:val="FF0000"/>
          <w:szCs w:val="24"/>
        </w:rPr>
        <w:t xml:space="preserve">  </w:t>
      </w:r>
      <w:r>
        <w:rPr>
          <w:szCs w:val="24"/>
        </w:rPr>
        <w:t xml:space="preserve"> Are universities to be treated as arms of government or</w:t>
      </w:r>
      <w:r w:rsidR="00012250">
        <w:rPr>
          <w:szCs w:val="24"/>
        </w:rPr>
        <w:t xml:space="preserve"> to use an accepte expression,</w:t>
      </w:r>
      <w:r>
        <w:rPr>
          <w:szCs w:val="24"/>
        </w:rPr>
        <w:t xml:space="preserve"> ‘emanations of the state’?</w:t>
      </w:r>
      <w:r>
        <w:rPr>
          <w:rFonts w:cs="Arial"/>
          <w:color w:val="565659"/>
          <w:szCs w:val="24"/>
        </w:rPr>
        <w:t xml:space="preserve">  </w:t>
      </w:r>
      <w:r>
        <w:rPr>
          <w:szCs w:val="24"/>
        </w:rPr>
        <w:t>This is a point on which EU case-law has provided a strong steer. It considers that an e</w:t>
      </w:r>
      <w:r w:rsidRPr="00537D7B">
        <w:rPr>
          <w:szCs w:val="24"/>
        </w:rPr>
        <w:t>manation of the state must be providing a public service under state control and have special powers for the purpose.</w:t>
      </w:r>
      <w:r w:rsidRPr="00537D7B">
        <w:rPr>
          <w:rStyle w:val="FootnoteReference"/>
          <w:rFonts w:cs="Times"/>
          <w:szCs w:val="24"/>
        </w:rPr>
        <w:footnoteReference w:id="26"/>
      </w:r>
      <w:r>
        <w:rPr>
          <w:szCs w:val="24"/>
        </w:rPr>
        <w:t xml:space="preserve">  There are aspects of this well-established discussion which touch on the question how direct state control of higher education shouldbe allowed to be.</w:t>
      </w:r>
    </w:p>
    <w:p w14:paraId="701C76C2" w14:textId="0F04EC7C" w:rsidR="00F77E2B" w:rsidRPr="00F77E2B" w:rsidRDefault="00F77E2B" w:rsidP="00F77E2B">
      <w:pPr>
        <w:pStyle w:val="NormalWeb"/>
        <w:spacing w:line="360" w:lineRule="auto"/>
        <w:jc w:val="both"/>
        <w:rPr>
          <w:rFonts w:asciiTheme="minorHAnsi" w:hAnsiTheme="minorHAnsi" w:cs="Arial"/>
          <w:i/>
          <w:color w:val="FF0000"/>
          <w:sz w:val="24"/>
          <w:szCs w:val="24"/>
        </w:rPr>
      </w:pPr>
      <w:r w:rsidRPr="00F77E2B">
        <w:rPr>
          <w:rFonts w:asciiTheme="minorHAnsi" w:hAnsiTheme="minorHAnsi" w:cs="Times"/>
          <w:i/>
          <w:color w:val="0B0B0B"/>
          <w:sz w:val="24"/>
          <w:szCs w:val="24"/>
        </w:rPr>
        <w:t>Private providers and private investment</w:t>
      </w:r>
    </w:p>
    <w:p w14:paraId="7E105C17" w14:textId="4B04DAAA" w:rsidR="00D33A4C" w:rsidRDefault="00D33A4C" w:rsidP="0076332F">
      <w:pPr>
        <w:pStyle w:val="NormalWeb"/>
        <w:spacing w:line="360" w:lineRule="auto"/>
        <w:jc w:val="both"/>
        <w:rPr>
          <w:rFonts w:asciiTheme="minorHAnsi" w:hAnsiTheme="minorHAnsi" w:cs="Arial"/>
          <w:sz w:val="24"/>
          <w:szCs w:val="24"/>
        </w:rPr>
      </w:pPr>
      <w:r>
        <w:rPr>
          <w:rFonts w:asciiTheme="minorHAnsi" w:hAnsiTheme="minorHAnsi" w:cs="Times"/>
          <w:color w:val="0B0B0B"/>
          <w:sz w:val="24"/>
          <w:szCs w:val="24"/>
        </w:rPr>
        <w:t>39</w:t>
      </w:r>
      <w:r w:rsidR="00144150" w:rsidRPr="00C262EA">
        <w:rPr>
          <w:rFonts w:asciiTheme="minorHAnsi" w:hAnsiTheme="minorHAnsi" w:cs="Times"/>
          <w:color w:val="0B0B0B"/>
          <w:sz w:val="24"/>
          <w:szCs w:val="24"/>
        </w:rPr>
        <w:t xml:space="preserve">.  </w:t>
      </w:r>
      <w:r w:rsidR="00012250">
        <w:rPr>
          <w:rFonts w:asciiTheme="minorHAnsi" w:hAnsiTheme="minorHAnsi" w:cs="Times"/>
          <w:color w:val="0B0B0B"/>
          <w:sz w:val="24"/>
          <w:szCs w:val="24"/>
        </w:rPr>
        <w:t>A driving consideration is</w:t>
      </w:r>
      <w:r>
        <w:rPr>
          <w:rFonts w:asciiTheme="minorHAnsi" w:hAnsiTheme="minorHAnsi" w:cs="Times"/>
          <w:color w:val="0B0B0B"/>
          <w:sz w:val="24"/>
          <w:szCs w:val="24"/>
        </w:rPr>
        <w:t xml:space="preserve"> apparently in part</w:t>
      </w:r>
      <w:r w:rsidR="00F77E2B">
        <w:rPr>
          <w:rFonts w:asciiTheme="minorHAnsi" w:hAnsiTheme="minorHAnsi" w:cs="Times"/>
          <w:color w:val="0B0B0B"/>
          <w:sz w:val="24"/>
          <w:szCs w:val="24"/>
        </w:rPr>
        <w:t xml:space="preserve"> the </w:t>
      </w:r>
      <w:r w:rsidR="00012250">
        <w:rPr>
          <w:rFonts w:asciiTheme="minorHAnsi" w:hAnsiTheme="minorHAnsi" w:cs="Times"/>
          <w:color w:val="0B0B0B"/>
          <w:sz w:val="24"/>
          <w:szCs w:val="24"/>
        </w:rPr>
        <w:t xml:space="preserve">Government </w:t>
      </w:r>
      <w:r w:rsidR="00F77E2B">
        <w:rPr>
          <w:rFonts w:asciiTheme="minorHAnsi" w:hAnsiTheme="minorHAnsi" w:cs="Times"/>
          <w:color w:val="0B0B0B"/>
          <w:sz w:val="24"/>
          <w:szCs w:val="24"/>
        </w:rPr>
        <w:t>wish to save public money by encouraging private funding of higher education</w:t>
      </w:r>
      <w:r>
        <w:rPr>
          <w:rFonts w:asciiTheme="minorHAnsi" w:hAnsiTheme="minorHAnsi" w:cs="Times"/>
          <w:color w:val="0B0B0B"/>
          <w:sz w:val="24"/>
          <w:szCs w:val="24"/>
        </w:rPr>
        <w:t xml:space="preserve">. </w:t>
      </w:r>
      <w:r w:rsidR="00144150">
        <w:rPr>
          <w:rFonts w:asciiTheme="minorHAnsi" w:hAnsiTheme="minorHAnsi" w:cs="Times"/>
          <w:color w:val="0B0B0B"/>
          <w:sz w:val="24"/>
          <w:szCs w:val="24"/>
        </w:rPr>
        <w:t>The White Paper of 20</w:t>
      </w:r>
      <w:r w:rsidR="00144150" w:rsidRPr="00537D7B">
        <w:rPr>
          <w:rFonts w:asciiTheme="minorHAnsi" w:hAnsiTheme="minorHAnsi" w:cs="Times"/>
          <w:color w:val="0B0B0B"/>
          <w:sz w:val="24"/>
          <w:szCs w:val="24"/>
        </w:rPr>
        <w:t xml:space="preserve">11 indicated the intention to permit </w:t>
      </w:r>
      <w:r w:rsidR="00144150" w:rsidRPr="00537D7B">
        <w:rPr>
          <w:rFonts w:asciiTheme="minorHAnsi" w:hAnsiTheme="minorHAnsi"/>
          <w:sz w:val="24"/>
          <w:szCs w:val="24"/>
        </w:rPr>
        <w:t>‘higher education institutions’ to ‘change their legal status’</w:t>
      </w:r>
      <w:r w:rsidR="00144150">
        <w:rPr>
          <w:rFonts w:asciiTheme="minorHAnsi" w:hAnsiTheme="minorHAnsi"/>
          <w:sz w:val="24"/>
          <w:szCs w:val="24"/>
        </w:rPr>
        <w:t xml:space="preserve"> </w:t>
      </w:r>
      <w:r w:rsidR="00144150" w:rsidRPr="00537D7B">
        <w:rPr>
          <w:rFonts w:asciiTheme="minorHAnsi" w:hAnsiTheme="minorHAnsi"/>
          <w:sz w:val="24"/>
          <w:szCs w:val="24"/>
          <w:lang w:val="en-US"/>
        </w:rPr>
        <w:t xml:space="preserve">so as </w:t>
      </w:r>
      <w:r w:rsidR="00144150">
        <w:rPr>
          <w:rFonts w:asciiTheme="minorHAnsi" w:hAnsiTheme="minorHAnsi"/>
          <w:sz w:val="24"/>
          <w:szCs w:val="24"/>
          <w:lang w:val="en-US"/>
        </w:rPr>
        <w:t>(</w:t>
      </w:r>
      <w:r w:rsidR="00144150" w:rsidRPr="00537D7B">
        <w:rPr>
          <w:rFonts w:asciiTheme="minorHAnsi" w:hAnsiTheme="minorHAnsi"/>
          <w:sz w:val="24"/>
          <w:szCs w:val="24"/>
          <w:lang w:val="en-US"/>
        </w:rPr>
        <w:t>‘for example’</w:t>
      </w:r>
      <w:r w:rsidR="00144150">
        <w:rPr>
          <w:rFonts w:asciiTheme="minorHAnsi" w:hAnsiTheme="minorHAnsi"/>
          <w:sz w:val="24"/>
          <w:szCs w:val="24"/>
          <w:lang w:val="en-US"/>
        </w:rPr>
        <w:t>)</w:t>
      </w:r>
      <w:r w:rsidR="00144150" w:rsidRPr="00537D7B">
        <w:rPr>
          <w:rFonts w:asciiTheme="minorHAnsi" w:hAnsiTheme="minorHAnsi"/>
          <w:sz w:val="24"/>
          <w:szCs w:val="24"/>
          <w:lang w:val="en-US"/>
        </w:rPr>
        <w:t xml:space="preserve"> </w:t>
      </w:r>
      <w:r w:rsidR="00144150" w:rsidRPr="00537D7B">
        <w:rPr>
          <w:rFonts w:asciiTheme="minorHAnsi" w:hAnsiTheme="minorHAnsi"/>
          <w:sz w:val="24"/>
          <w:szCs w:val="24"/>
        </w:rPr>
        <w:t xml:space="preserve">to </w:t>
      </w:r>
      <w:r w:rsidR="00144150">
        <w:rPr>
          <w:rFonts w:asciiTheme="minorHAnsi" w:hAnsiTheme="minorHAnsi"/>
          <w:sz w:val="24"/>
          <w:szCs w:val="24"/>
        </w:rPr>
        <w:t>‘</w:t>
      </w:r>
      <w:r w:rsidR="00144150" w:rsidRPr="00537D7B">
        <w:rPr>
          <w:rFonts w:asciiTheme="minorHAnsi" w:hAnsiTheme="minorHAnsi"/>
          <w:sz w:val="24"/>
          <w:szCs w:val="24"/>
        </w:rPr>
        <w:t>make it easier for them to attract private investment</w:t>
      </w:r>
      <w:r w:rsidR="00144150">
        <w:rPr>
          <w:rFonts w:asciiTheme="minorHAnsi" w:hAnsiTheme="minorHAnsi"/>
          <w:sz w:val="24"/>
          <w:szCs w:val="24"/>
        </w:rPr>
        <w:t>’</w:t>
      </w:r>
      <w:r w:rsidR="00144150" w:rsidRPr="00537D7B">
        <w:rPr>
          <w:rFonts w:asciiTheme="minorHAnsi" w:hAnsiTheme="minorHAnsi"/>
          <w:sz w:val="24"/>
          <w:szCs w:val="24"/>
        </w:rPr>
        <w:t xml:space="preserve">. </w:t>
      </w:r>
      <w:r w:rsidR="00144150">
        <w:rPr>
          <w:rFonts w:asciiTheme="minorHAnsi" w:hAnsiTheme="minorHAnsi"/>
          <w:sz w:val="24"/>
          <w:szCs w:val="24"/>
        </w:rPr>
        <w:t xml:space="preserve"> It was recognised that this would not be straightforward, not least because </w:t>
      </w:r>
      <w:r w:rsidR="0076332F">
        <w:rPr>
          <w:rFonts w:asciiTheme="minorHAnsi" w:hAnsiTheme="minorHAnsi"/>
          <w:sz w:val="24"/>
          <w:szCs w:val="24"/>
        </w:rPr>
        <w:t>of the variety of legal forms publicly-funded universities might take. T</w:t>
      </w:r>
      <w:r w:rsidR="00144150">
        <w:rPr>
          <w:rFonts w:asciiTheme="minorHAnsi" w:hAnsiTheme="minorHAnsi"/>
          <w:sz w:val="24"/>
          <w:szCs w:val="24"/>
        </w:rPr>
        <w:t>he chartered</w:t>
      </w:r>
      <w:r w:rsidR="0076332F">
        <w:rPr>
          <w:rFonts w:asciiTheme="minorHAnsi" w:hAnsiTheme="minorHAnsi"/>
          <w:sz w:val="24"/>
          <w:szCs w:val="24"/>
        </w:rPr>
        <w:t xml:space="preserve"> (pre-1988)</w:t>
      </w:r>
      <w:r w:rsidR="00144150">
        <w:rPr>
          <w:rFonts w:asciiTheme="minorHAnsi" w:hAnsiTheme="minorHAnsi"/>
          <w:sz w:val="24"/>
          <w:szCs w:val="24"/>
        </w:rPr>
        <w:t xml:space="preserve"> universities would require individual Private Acts of </w:t>
      </w:r>
      <w:r w:rsidR="00144150">
        <w:rPr>
          <w:rFonts w:asciiTheme="minorHAnsi" w:hAnsiTheme="minorHAnsi"/>
          <w:sz w:val="24"/>
          <w:szCs w:val="24"/>
        </w:rPr>
        <w:lastRenderedPageBreak/>
        <w:t xml:space="preserve">Parliament to permit them to </w:t>
      </w:r>
      <w:r w:rsidR="0076332F">
        <w:rPr>
          <w:rFonts w:asciiTheme="minorHAnsi" w:hAnsiTheme="minorHAnsi"/>
          <w:sz w:val="24"/>
          <w:szCs w:val="24"/>
        </w:rPr>
        <w:t>alter their legal form</w:t>
      </w:r>
      <w:r w:rsidR="00144150" w:rsidRPr="00403AE1">
        <w:rPr>
          <w:rFonts w:asciiTheme="minorHAnsi" w:hAnsiTheme="minorHAnsi"/>
          <w:sz w:val="24"/>
          <w:szCs w:val="24"/>
        </w:rPr>
        <w:t>.</w:t>
      </w:r>
      <w:r w:rsidR="00144150" w:rsidRPr="00403AE1">
        <w:rPr>
          <w:rStyle w:val="FootnoteReference"/>
          <w:rFonts w:asciiTheme="minorHAnsi" w:hAnsiTheme="minorHAnsi" w:cs="Arial"/>
          <w:sz w:val="24"/>
          <w:szCs w:val="24"/>
        </w:rPr>
        <w:t xml:space="preserve"> </w:t>
      </w:r>
      <w:r w:rsidR="00144150" w:rsidRPr="00403AE1">
        <w:rPr>
          <w:rStyle w:val="FootnoteReference"/>
          <w:rFonts w:asciiTheme="minorHAnsi" w:hAnsiTheme="minorHAnsi" w:cs="Arial"/>
          <w:sz w:val="24"/>
          <w:szCs w:val="24"/>
        </w:rPr>
        <w:footnoteReference w:id="27"/>
      </w:r>
      <w:r w:rsidR="00144150">
        <w:rPr>
          <w:rFonts w:asciiTheme="minorHAnsi" w:hAnsiTheme="minorHAnsi" w:cs="Arial"/>
          <w:sz w:val="24"/>
          <w:szCs w:val="24"/>
        </w:rPr>
        <w:t xml:space="preserve"> </w:t>
      </w:r>
      <w:r w:rsidR="0076332F">
        <w:rPr>
          <w:rFonts w:asciiTheme="minorHAnsi" w:hAnsiTheme="minorHAnsi" w:cs="Arial"/>
          <w:sz w:val="24"/>
          <w:szCs w:val="24"/>
        </w:rPr>
        <w:t xml:space="preserve">Higher Education Corporations were created between 1988 and 1992, when institutions formerly under local authority control changed from polytechnics to universities. The Further and Higher Education Act 1992 set certain constraints upon their governance. Oxford and Cambridge were not discussed. They are civil corporations which may make changes to their constitutions under the Oxford and Cambridge Act 1923, and have no royal charters.  </w:t>
      </w:r>
    </w:p>
    <w:p w14:paraId="72551D0E" w14:textId="2074E6FA" w:rsidR="00144150" w:rsidRPr="0076332F" w:rsidRDefault="00D33A4C" w:rsidP="00144150">
      <w:pPr>
        <w:pStyle w:val="NormalWeb"/>
        <w:spacing w:line="360" w:lineRule="auto"/>
        <w:jc w:val="both"/>
        <w:rPr>
          <w:rFonts w:asciiTheme="minorHAnsi" w:hAnsiTheme="minorHAnsi" w:cs="Arial"/>
          <w:sz w:val="24"/>
          <w:szCs w:val="24"/>
        </w:rPr>
      </w:pPr>
      <w:r>
        <w:rPr>
          <w:rFonts w:asciiTheme="minorHAnsi" w:hAnsiTheme="minorHAnsi" w:cs="Times"/>
          <w:color w:val="0B0B0B"/>
          <w:sz w:val="24"/>
          <w:szCs w:val="24"/>
        </w:rPr>
        <w:t xml:space="preserve">40. </w:t>
      </w:r>
      <w:r w:rsidR="0076332F">
        <w:rPr>
          <w:rFonts w:asciiTheme="minorHAnsi" w:hAnsiTheme="minorHAnsi" w:cs="Times"/>
          <w:color w:val="0B0B0B"/>
          <w:sz w:val="24"/>
          <w:szCs w:val="24"/>
        </w:rPr>
        <w:t>The 2011 Technical Consultation accepted that at that time</w:t>
      </w:r>
      <w:r w:rsidR="0076332F">
        <w:rPr>
          <w:rFonts w:cs="Arial"/>
          <w:szCs w:val="24"/>
        </w:rPr>
        <w:t xml:space="preserve"> </w:t>
      </w:r>
      <w:r w:rsidR="0076332F">
        <w:rPr>
          <w:rFonts w:asciiTheme="minorHAnsi" w:hAnsiTheme="minorHAnsi" w:cs="Arial"/>
          <w:sz w:val="24"/>
          <w:szCs w:val="24"/>
        </w:rPr>
        <w:t>‘all</w:t>
      </w:r>
      <w:r w:rsidR="0076332F" w:rsidRPr="00537D7B">
        <w:rPr>
          <w:rFonts w:asciiTheme="minorHAnsi" w:hAnsiTheme="minorHAnsi" w:cs="Arial"/>
          <w:sz w:val="24"/>
          <w:szCs w:val="24"/>
        </w:rPr>
        <w:t xml:space="preserve"> higher education institutions</w:t>
      </w:r>
      <w:r w:rsidR="0076332F">
        <w:rPr>
          <w:rFonts w:asciiTheme="minorHAnsi" w:hAnsiTheme="minorHAnsi" w:cs="Arial"/>
          <w:sz w:val="24"/>
          <w:szCs w:val="24"/>
        </w:rPr>
        <w:t>’ we</w:t>
      </w:r>
      <w:r w:rsidR="0076332F" w:rsidRPr="00537D7B">
        <w:rPr>
          <w:rFonts w:asciiTheme="minorHAnsi" w:hAnsiTheme="minorHAnsi" w:cs="Arial"/>
          <w:sz w:val="24"/>
          <w:szCs w:val="24"/>
        </w:rPr>
        <w:t xml:space="preserve">re </w:t>
      </w:r>
      <w:r w:rsidR="0076332F">
        <w:rPr>
          <w:rFonts w:asciiTheme="minorHAnsi" w:hAnsiTheme="minorHAnsi" w:cs="Arial"/>
          <w:sz w:val="24"/>
          <w:szCs w:val="24"/>
        </w:rPr>
        <w:t>‘</w:t>
      </w:r>
      <w:r w:rsidR="0076332F" w:rsidRPr="00537D7B">
        <w:rPr>
          <w:rFonts w:asciiTheme="minorHAnsi" w:hAnsiTheme="minorHAnsi" w:cs="Arial"/>
          <w:sz w:val="24"/>
          <w:szCs w:val="24"/>
        </w:rPr>
        <w:t>legally independent institutions accountable through a governing body that carries ultimate responsibility for all aspects of the institution’s affairs</w:t>
      </w:r>
      <w:r w:rsidR="0076332F">
        <w:rPr>
          <w:rFonts w:asciiTheme="minorHAnsi" w:hAnsiTheme="minorHAnsi" w:cs="Arial"/>
          <w:sz w:val="24"/>
          <w:szCs w:val="24"/>
        </w:rPr>
        <w:t>’, and most were</w:t>
      </w:r>
      <w:r w:rsidR="0076332F" w:rsidRPr="00537D7B">
        <w:rPr>
          <w:rFonts w:asciiTheme="minorHAnsi" w:hAnsiTheme="minorHAnsi" w:cs="Arial"/>
          <w:sz w:val="24"/>
          <w:szCs w:val="24"/>
        </w:rPr>
        <w:t xml:space="preserve"> exempt charities under the Charities Act 1993.</w:t>
      </w:r>
      <w:r w:rsidR="0076332F">
        <w:rPr>
          <w:rFonts w:asciiTheme="minorHAnsi" w:hAnsiTheme="minorHAnsi"/>
          <w:sz w:val="24"/>
          <w:szCs w:val="24"/>
        </w:rPr>
        <w:t xml:space="preserve">.  The presumption is now that new legal forms would be sought </w:t>
      </w:r>
      <w:r>
        <w:rPr>
          <w:rFonts w:asciiTheme="minorHAnsi" w:hAnsiTheme="minorHAnsi"/>
          <w:sz w:val="24"/>
          <w:szCs w:val="24"/>
        </w:rPr>
        <w:t xml:space="preserve"> </w:t>
      </w:r>
      <w:r w:rsidR="0076332F">
        <w:rPr>
          <w:rFonts w:asciiTheme="minorHAnsi" w:hAnsiTheme="minorHAnsi"/>
          <w:sz w:val="24"/>
          <w:szCs w:val="24"/>
        </w:rPr>
        <w:t>outside the charity sector and that thi</w:t>
      </w:r>
      <w:r>
        <w:rPr>
          <w:rFonts w:asciiTheme="minorHAnsi" w:hAnsiTheme="minorHAnsi"/>
          <w:sz w:val="24"/>
          <w:szCs w:val="24"/>
        </w:rPr>
        <w:t xml:space="preserve">s would be a good thing. Freed </w:t>
      </w:r>
      <w:r w:rsidR="0076332F">
        <w:rPr>
          <w:rFonts w:asciiTheme="minorHAnsi" w:hAnsiTheme="minorHAnsi"/>
          <w:sz w:val="24"/>
          <w:szCs w:val="24"/>
        </w:rPr>
        <w:t>under Green Paper proposals of the constraints which affect HECs, the body would in future be able to change its governing documents as it chose and also do so without charitable purpose.</w:t>
      </w:r>
    </w:p>
    <w:p w14:paraId="1D92EA41" w14:textId="3E5BD2C1" w:rsidR="00F77E2B" w:rsidRDefault="00D33A4C" w:rsidP="00144150">
      <w:pPr>
        <w:pStyle w:val="NormalWeb"/>
        <w:spacing w:line="360" w:lineRule="auto"/>
        <w:jc w:val="both"/>
        <w:rPr>
          <w:rFonts w:asciiTheme="minorHAnsi" w:hAnsiTheme="minorHAnsi"/>
          <w:sz w:val="24"/>
          <w:szCs w:val="24"/>
        </w:rPr>
      </w:pPr>
      <w:r>
        <w:rPr>
          <w:rFonts w:asciiTheme="minorHAnsi" w:hAnsiTheme="minorHAnsi"/>
          <w:sz w:val="24"/>
          <w:szCs w:val="24"/>
        </w:rPr>
        <w:t>41.</w:t>
      </w:r>
      <w:r w:rsidR="0076332F">
        <w:rPr>
          <w:rFonts w:asciiTheme="minorHAnsi" w:hAnsiTheme="minorHAnsi"/>
          <w:sz w:val="24"/>
          <w:szCs w:val="24"/>
        </w:rPr>
        <w:t xml:space="preserve"> Most of the Green Paper updating of this proposal is concerned with Higher Education Corporations, which do not under present legislation have powers to dissolve themselves and sell off their goodwill, name and assets to private providers.  Nor, while they remain HECs, can they enter freely into all forms of financial arrangement open to private businesses.</w:t>
      </w:r>
      <w:r>
        <w:rPr>
          <w:rFonts w:asciiTheme="minorHAnsi" w:hAnsiTheme="minorHAnsi"/>
          <w:sz w:val="24"/>
          <w:szCs w:val="24"/>
        </w:rPr>
        <w:t xml:space="preserve">  The Green Paper would like to see this changed.</w:t>
      </w:r>
    </w:p>
    <w:p w14:paraId="63B10550" w14:textId="549E7AFA" w:rsidR="00D33A4C" w:rsidRDefault="00D33A4C" w:rsidP="00D33A4C">
      <w:pPr>
        <w:pStyle w:val="NormalWeb"/>
        <w:spacing w:line="360" w:lineRule="auto"/>
        <w:jc w:val="both"/>
        <w:rPr>
          <w:rFonts w:asciiTheme="minorHAnsi" w:hAnsiTheme="minorHAnsi"/>
          <w:sz w:val="24"/>
          <w:szCs w:val="24"/>
        </w:rPr>
      </w:pPr>
      <w:r>
        <w:rPr>
          <w:rFonts w:asciiTheme="minorHAnsi" w:hAnsiTheme="minorHAnsi"/>
          <w:sz w:val="24"/>
          <w:szCs w:val="24"/>
        </w:rPr>
        <w:t xml:space="preserve">42. </w:t>
      </w:r>
      <w:r w:rsidRPr="00D33A4C">
        <w:rPr>
          <w:rFonts w:asciiTheme="minorHAnsi" w:hAnsiTheme="minorHAnsi"/>
          <w:sz w:val="24"/>
          <w:szCs w:val="24"/>
        </w:rPr>
        <w:t>An existing HEC would be allowed to dissolve itself  at will and transfer its assets, recreating itself in a different legal form (or</w:t>
      </w:r>
      <w:r w:rsidRPr="00D33A4C">
        <w:rPr>
          <w:sz w:val="24"/>
          <w:szCs w:val="24"/>
        </w:rPr>
        <w:t xml:space="preserve"> </w:t>
      </w:r>
      <w:r w:rsidRPr="00D33A4C">
        <w:rPr>
          <w:rFonts w:asciiTheme="minorHAnsi" w:hAnsiTheme="minorHAnsi"/>
          <w:sz w:val="24"/>
          <w:szCs w:val="24"/>
        </w:rPr>
        <w:t xml:space="preserve">‘future delivery model’).  It is noted that this might prove a disincentive to benefactors ‘for example those who might have an interest in the assets because they have donated funds or land for a particular purpose’. So ‘HECs will be required to publish details of the proposal for </w:t>
      </w:r>
      <w:r w:rsidRPr="00D33A4C">
        <w:rPr>
          <w:rFonts w:asciiTheme="minorHAnsi" w:hAnsiTheme="minorHAnsi"/>
          <w:sz w:val="24"/>
          <w:szCs w:val="24"/>
        </w:rPr>
        <w:lastRenderedPageBreak/>
        <w:t>dissolution and to inform the regulator of the resolution to dissolve and the dissolution date as soon as possible’.  This would appear to allow considerable licence to make use of funding for purposes not envisaged by the donor.  That</w:t>
      </w:r>
      <w:r>
        <w:rPr>
          <w:rFonts w:asciiTheme="minorHAnsi" w:hAnsiTheme="minorHAnsi"/>
          <w:sz w:val="24"/>
          <w:szCs w:val="24"/>
        </w:rPr>
        <w:t xml:space="preserve"> concern does not appear in the Green Paper except in the form of a proposal that the intention to dissolve should be published so that those affected may have reasonable notice.  </w:t>
      </w:r>
    </w:p>
    <w:p w14:paraId="31F81A32" w14:textId="5C73CE2B" w:rsidR="00D33A4C" w:rsidRPr="00207CD5" w:rsidRDefault="00D33A4C" w:rsidP="00D33A4C">
      <w:pPr>
        <w:pStyle w:val="Default"/>
        <w:spacing w:line="360" w:lineRule="auto"/>
        <w:jc w:val="both"/>
        <w:rPr>
          <w:rFonts w:asciiTheme="minorHAnsi" w:hAnsiTheme="minorHAnsi" w:cs="Times"/>
          <w:color w:val="0B0B0B"/>
        </w:rPr>
      </w:pPr>
      <w:r>
        <w:rPr>
          <w:rFonts w:asciiTheme="minorHAnsi" w:hAnsiTheme="minorHAnsi" w:cs="Times"/>
          <w:color w:val="0B0B0B"/>
        </w:rPr>
        <w:t xml:space="preserve">43. </w:t>
      </w:r>
      <w:r w:rsidRPr="00207CD5">
        <w:rPr>
          <w:rFonts w:asciiTheme="minorHAnsi" w:hAnsiTheme="minorHAnsi" w:cs="Times"/>
          <w:color w:val="0B0B0B"/>
        </w:rPr>
        <w:t>The Green Paper argues that the existing arrangements for higher education corporations are:</w:t>
      </w:r>
    </w:p>
    <w:p w14:paraId="1611B028" w14:textId="77777777" w:rsidR="00D33A4C" w:rsidRDefault="00D33A4C" w:rsidP="00D33A4C">
      <w:pPr>
        <w:pStyle w:val="Default"/>
        <w:spacing w:line="360" w:lineRule="auto"/>
        <w:jc w:val="both"/>
        <w:rPr>
          <w:rFonts w:asciiTheme="minorHAnsi" w:hAnsiTheme="minorHAnsi"/>
          <w:i/>
        </w:rPr>
      </w:pPr>
      <w:r w:rsidRPr="00207CD5">
        <w:rPr>
          <w:rFonts w:asciiTheme="minorHAnsi" w:hAnsiTheme="minorHAnsi" w:cs="Times"/>
          <w:i/>
          <w:color w:val="0B0B0B"/>
        </w:rPr>
        <w:t xml:space="preserve"> ‘</w:t>
      </w:r>
      <w:r w:rsidRPr="00207CD5">
        <w:rPr>
          <w:rFonts w:asciiTheme="minorHAnsi" w:hAnsiTheme="minorHAnsi"/>
          <w:i/>
        </w:rPr>
        <w:t xml:space="preserve">now out-dated and unnecessarily restrictive and burdensome. As a consequence they can stifle innovation and growth and slow down institutional change. They are also inconsistent with the Government’s commitment to establish a level playing field in higher education. </w:t>
      </w:r>
      <w:r>
        <w:rPr>
          <w:rFonts w:asciiTheme="minorHAnsi" w:hAnsiTheme="minorHAnsi"/>
          <w:i/>
        </w:rPr>
        <w:t xml:space="preserve"> </w:t>
      </w:r>
    </w:p>
    <w:p w14:paraId="3F9FA6A7" w14:textId="77777777" w:rsidR="00D33A4C" w:rsidRDefault="00D33A4C" w:rsidP="00D33A4C">
      <w:pPr>
        <w:pStyle w:val="Default"/>
        <w:spacing w:line="360" w:lineRule="auto"/>
        <w:jc w:val="both"/>
        <w:rPr>
          <w:rFonts w:asciiTheme="minorHAnsi" w:hAnsiTheme="minorHAnsi"/>
        </w:rPr>
      </w:pPr>
      <w:r w:rsidRPr="00BD7612">
        <w:rPr>
          <w:rFonts w:asciiTheme="minorHAnsi" w:hAnsiTheme="minorHAnsi"/>
        </w:rPr>
        <w:t xml:space="preserve">The proposal is to adjust what it is admitted is a mere ‘perception’ that the powers of an HEC are more limited than those of a chartered HEI or an HEI incorporated under the Companies Act. </w:t>
      </w:r>
    </w:p>
    <w:p w14:paraId="6AC93061" w14:textId="77777777" w:rsidR="00D33A4C" w:rsidRDefault="00D33A4C" w:rsidP="00D33A4C">
      <w:pPr>
        <w:pStyle w:val="Default"/>
        <w:spacing w:line="360" w:lineRule="auto"/>
        <w:jc w:val="both"/>
        <w:rPr>
          <w:rFonts w:asciiTheme="minorHAnsi" w:hAnsiTheme="minorHAnsi"/>
        </w:rPr>
      </w:pPr>
    </w:p>
    <w:p w14:paraId="4351DFAA" w14:textId="5A90F52D" w:rsidR="00D33A4C" w:rsidRPr="00144150" w:rsidRDefault="00D33A4C" w:rsidP="00D33A4C">
      <w:pPr>
        <w:pStyle w:val="Default"/>
        <w:spacing w:line="360" w:lineRule="auto"/>
        <w:jc w:val="both"/>
        <w:rPr>
          <w:rFonts w:asciiTheme="minorHAnsi" w:hAnsiTheme="minorHAnsi"/>
          <w:i/>
        </w:rPr>
      </w:pPr>
      <w:r w:rsidRPr="00BD7612">
        <w:rPr>
          <w:rFonts w:asciiTheme="minorHAnsi" w:hAnsiTheme="minorHAnsi"/>
        </w:rPr>
        <w:t xml:space="preserve"> </w:t>
      </w:r>
      <w:r>
        <w:rPr>
          <w:rFonts w:asciiTheme="minorHAnsi" w:hAnsiTheme="minorHAnsi"/>
        </w:rPr>
        <w:t xml:space="preserve">44. </w:t>
      </w:r>
      <w:r w:rsidRPr="00BD7612">
        <w:rPr>
          <w:rFonts w:asciiTheme="minorHAnsi" w:hAnsiTheme="minorHAnsi"/>
        </w:rPr>
        <w:t xml:space="preserve">The sensitive point </w:t>
      </w:r>
      <w:r>
        <w:rPr>
          <w:rFonts w:asciiTheme="minorHAnsi" w:hAnsiTheme="minorHAnsi"/>
        </w:rPr>
        <w:t xml:space="preserve">concerns the statutory </w:t>
      </w:r>
      <w:r w:rsidRPr="00BD7612">
        <w:rPr>
          <w:rFonts w:asciiTheme="minorHAnsi" w:hAnsiTheme="minorHAnsi"/>
        </w:rPr>
        <w:t>requirement for an HEC to have in place an instrument and articles</w:t>
      </w:r>
      <w:r w:rsidR="00012250">
        <w:rPr>
          <w:rFonts w:asciiTheme="minorHAnsi" w:hAnsiTheme="minorHAnsi"/>
        </w:rPr>
        <w:t xml:space="preserve"> in approved form</w:t>
      </w:r>
      <w:r w:rsidRPr="00BD7612">
        <w:rPr>
          <w:rFonts w:asciiTheme="minorHAnsi" w:hAnsiTheme="minorHAnsi"/>
        </w:rPr>
        <w:t>.</w:t>
      </w:r>
      <w:r>
        <w:rPr>
          <w:rFonts w:asciiTheme="minorHAnsi" w:hAnsiTheme="minorHAnsi"/>
        </w:rPr>
        <w:t xml:space="preserve"> The Green Paper argues that:</w:t>
      </w:r>
    </w:p>
    <w:p w14:paraId="36FE6249" w14:textId="77777777" w:rsidR="00D33A4C" w:rsidRDefault="00D33A4C" w:rsidP="00D33A4C">
      <w:pPr>
        <w:pStyle w:val="Default"/>
        <w:spacing w:line="360" w:lineRule="auto"/>
        <w:jc w:val="both"/>
        <w:rPr>
          <w:sz w:val="23"/>
          <w:szCs w:val="23"/>
        </w:rPr>
      </w:pPr>
      <w:r w:rsidRPr="00BD7612">
        <w:rPr>
          <w:rFonts w:asciiTheme="minorHAnsi" w:hAnsiTheme="minorHAnsi"/>
          <w:i/>
        </w:rPr>
        <w:t>the level of prescription contained in legislation is no longer necessary as HECs are mature and autonomous institutions. The Government therefore intends to align this requirement with that for designated institutions which simply requires there to be an instrument and articles providing for the constitution and conduct of the body.</w:t>
      </w:r>
      <w:r w:rsidRPr="00BD7612">
        <w:rPr>
          <w:rFonts w:asciiTheme="minorHAnsi" w:hAnsiTheme="minorHAnsi"/>
        </w:rPr>
        <w:t>’</w:t>
      </w:r>
      <w:r w:rsidRPr="00E00344">
        <w:rPr>
          <w:sz w:val="23"/>
          <w:szCs w:val="23"/>
        </w:rPr>
        <w:t xml:space="preserve"> </w:t>
      </w:r>
      <w:r>
        <w:rPr>
          <w:sz w:val="23"/>
          <w:szCs w:val="23"/>
        </w:rPr>
        <w:t xml:space="preserve"> </w:t>
      </w:r>
    </w:p>
    <w:p w14:paraId="580D6914" w14:textId="77777777" w:rsidR="00D33A4C" w:rsidRDefault="00D33A4C" w:rsidP="00D33A4C">
      <w:pPr>
        <w:pStyle w:val="Default"/>
        <w:spacing w:line="360" w:lineRule="auto"/>
        <w:jc w:val="both"/>
        <w:rPr>
          <w:rFonts w:asciiTheme="minorHAnsi" w:hAnsiTheme="minorHAnsi"/>
        </w:rPr>
      </w:pPr>
      <w:r w:rsidRPr="00BD7612">
        <w:rPr>
          <w:rFonts w:asciiTheme="minorHAnsi" w:hAnsiTheme="minorHAnsi"/>
        </w:rPr>
        <w:t>This would tidy up the</w:t>
      </w:r>
      <w:r>
        <w:rPr>
          <w:rFonts w:asciiTheme="minorHAnsi" w:hAnsiTheme="minorHAnsi"/>
        </w:rPr>
        <w:t xml:space="preserve"> stated</w:t>
      </w:r>
      <w:r w:rsidRPr="00BD7612">
        <w:rPr>
          <w:rFonts w:asciiTheme="minorHAnsi" w:hAnsiTheme="minorHAnsi"/>
        </w:rPr>
        <w:t xml:space="preserve"> </w:t>
      </w:r>
      <w:r>
        <w:rPr>
          <w:rFonts w:asciiTheme="minorHAnsi" w:hAnsiTheme="minorHAnsi"/>
        </w:rPr>
        <w:t>present anomaly in the direction of lesser and looser regulatory requirements for all providers on the basis that ‘experienced’ HECs are deemed to deserve more freedom, in fact the same freedom as is already accorded to inexperienced providers.</w:t>
      </w:r>
    </w:p>
    <w:p w14:paraId="158506F3" w14:textId="77777777" w:rsidR="00D33A4C" w:rsidRDefault="00D33A4C" w:rsidP="00D33A4C">
      <w:pPr>
        <w:pStyle w:val="Default"/>
        <w:spacing w:line="360" w:lineRule="auto"/>
        <w:jc w:val="both"/>
        <w:rPr>
          <w:rFonts w:asciiTheme="minorHAnsi" w:hAnsiTheme="minorHAnsi"/>
        </w:rPr>
      </w:pPr>
    </w:p>
    <w:p w14:paraId="2B685439" w14:textId="1B27E549" w:rsidR="00D33A4C" w:rsidRDefault="00D33A4C" w:rsidP="00D33A4C">
      <w:pPr>
        <w:widowControl w:val="0"/>
        <w:autoSpaceDE w:val="0"/>
        <w:autoSpaceDN w:val="0"/>
        <w:adjustRightInd w:val="0"/>
        <w:spacing w:after="0" w:line="360" w:lineRule="auto"/>
        <w:jc w:val="both"/>
        <w:rPr>
          <w:rFonts w:cs="Arial"/>
          <w:color w:val="000000"/>
          <w:szCs w:val="24"/>
        </w:rPr>
      </w:pPr>
      <w:r>
        <w:rPr>
          <w:szCs w:val="24"/>
        </w:rPr>
        <w:t xml:space="preserve">45. </w:t>
      </w:r>
      <w:r w:rsidRPr="00182F97">
        <w:rPr>
          <w:szCs w:val="24"/>
        </w:rPr>
        <w:t xml:space="preserve">It is also planned to remove the requirement of </w:t>
      </w:r>
      <w:r>
        <w:rPr>
          <w:rFonts w:cs="Arial"/>
          <w:szCs w:val="24"/>
        </w:rPr>
        <w:t>Privy Council</w:t>
      </w:r>
      <w:r w:rsidRPr="00182F97">
        <w:rPr>
          <w:rFonts w:cs="Arial"/>
          <w:szCs w:val="24"/>
        </w:rPr>
        <w:t xml:space="preserve"> approval of changes to governing documents, as part of the policy of ceasing to require what is</w:t>
      </w:r>
      <w:r>
        <w:rPr>
          <w:rFonts w:cs="Arial"/>
          <w:szCs w:val="24"/>
        </w:rPr>
        <w:t xml:space="preserve"> </w:t>
      </w:r>
      <w:r w:rsidRPr="00182F97">
        <w:rPr>
          <w:rFonts w:cs="Arial"/>
          <w:szCs w:val="24"/>
        </w:rPr>
        <w:t xml:space="preserve">‘burdensome and time-consuming to institutions’, and what might ‘put [existing </w:t>
      </w:r>
      <w:r w:rsidRPr="00182F97">
        <w:rPr>
          <w:rFonts w:cs="Arial"/>
          <w:szCs w:val="24"/>
        </w:rPr>
        <w:lastRenderedPageBreak/>
        <w:t xml:space="preserve">publicy-funded] institutions at a disadvantage compared to newer providers in the sector with more flexible frameworks’. </w:t>
      </w:r>
      <w:r w:rsidRPr="00182F97">
        <w:rPr>
          <w:rFonts w:cs="Arial"/>
          <w:color w:val="000000"/>
          <w:szCs w:val="24"/>
        </w:rPr>
        <w:t>‘Providers would … be free to make changes as and when best suited them to meet their business needs’.</w:t>
      </w:r>
    </w:p>
    <w:p w14:paraId="21FD0F8D" w14:textId="77777777" w:rsidR="00D33A4C" w:rsidRPr="00144150" w:rsidRDefault="00D33A4C" w:rsidP="00D33A4C">
      <w:pPr>
        <w:widowControl w:val="0"/>
        <w:autoSpaceDE w:val="0"/>
        <w:autoSpaceDN w:val="0"/>
        <w:adjustRightInd w:val="0"/>
        <w:spacing w:after="0" w:line="360" w:lineRule="auto"/>
        <w:jc w:val="both"/>
        <w:rPr>
          <w:rFonts w:cs="Arial"/>
          <w:color w:val="000000"/>
          <w:szCs w:val="24"/>
        </w:rPr>
      </w:pPr>
    </w:p>
    <w:p w14:paraId="015332CE" w14:textId="382BE078" w:rsidR="00144150" w:rsidRDefault="00D33A4C" w:rsidP="00144150">
      <w:pPr>
        <w:pStyle w:val="NormalWeb"/>
        <w:spacing w:before="0" w:beforeAutospacing="0" w:after="0" w:afterAutospacing="0" w:line="360" w:lineRule="auto"/>
        <w:jc w:val="both"/>
        <w:rPr>
          <w:rFonts w:asciiTheme="minorHAnsi" w:hAnsiTheme="minorHAnsi" w:cs="Arial"/>
          <w:sz w:val="24"/>
          <w:szCs w:val="24"/>
        </w:rPr>
      </w:pPr>
      <w:r>
        <w:rPr>
          <w:rFonts w:asciiTheme="minorHAnsi" w:hAnsiTheme="minorHAnsi" w:cs="Arial"/>
          <w:sz w:val="24"/>
          <w:szCs w:val="24"/>
        </w:rPr>
        <w:t>46.</w:t>
      </w:r>
      <w:r w:rsidR="00144150">
        <w:rPr>
          <w:rFonts w:asciiTheme="minorHAnsi" w:hAnsiTheme="minorHAnsi" w:cs="Arial"/>
          <w:sz w:val="24"/>
          <w:szCs w:val="24"/>
        </w:rPr>
        <w:t xml:space="preserve">. There remain ‘designated institutions’, which take various legal forms. A designated institution may be a company limited by guarantee, or a charitable trust These must </w:t>
      </w:r>
      <w:r w:rsidR="00144150" w:rsidRPr="000F041F">
        <w:rPr>
          <w:rFonts w:asciiTheme="minorHAnsi" w:hAnsiTheme="minorHAnsi" w:cs="Arial"/>
          <w:sz w:val="24"/>
          <w:szCs w:val="24"/>
        </w:rPr>
        <w:t>have Instruments and Articles of Governance, but these are not prescribed</w:t>
      </w:r>
      <w:r w:rsidR="00144150">
        <w:rPr>
          <w:rFonts w:asciiTheme="minorHAnsi" w:hAnsiTheme="minorHAnsi" w:cs="Arial"/>
          <w:sz w:val="24"/>
          <w:szCs w:val="24"/>
        </w:rPr>
        <w:t xml:space="preserve"> by law</w:t>
      </w:r>
      <w:r w:rsidR="00144150" w:rsidRPr="000F041F">
        <w:rPr>
          <w:rFonts w:asciiTheme="minorHAnsi" w:hAnsiTheme="minorHAnsi" w:cs="Arial"/>
          <w:sz w:val="24"/>
          <w:szCs w:val="24"/>
        </w:rPr>
        <w:t xml:space="preserve"> in the way</w:t>
      </w:r>
      <w:r w:rsidR="00144150">
        <w:rPr>
          <w:rFonts w:asciiTheme="minorHAnsi" w:hAnsiTheme="minorHAnsi" w:cs="Arial"/>
          <w:sz w:val="24"/>
          <w:szCs w:val="24"/>
        </w:rPr>
        <w:t xml:space="preserve"> applicable to HECs</w:t>
      </w:r>
      <w:r w:rsidR="00144150" w:rsidRPr="000F041F">
        <w:rPr>
          <w:rFonts w:asciiTheme="minorHAnsi" w:hAnsiTheme="minorHAnsi" w:cs="Arial"/>
          <w:sz w:val="24"/>
          <w:szCs w:val="24"/>
        </w:rPr>
        <w:t>.</w:t>
      </w:r>
      <w:r w:rsidR="00144150" w:rsidRPr="000F041F">
        <w:rPr>
          <w:rStyle w:val="FootnoteReference"/>
          <w:rFonts w:asciiTheme="minorHAnsi" w:hAnsiTheme="minorHAnsi" w:cs="Times"/>
          <w:color w:val="0B0B0B"/>
          <w:sz w:val="24"/>
          <w:szCs w:val="24"/>
        </w:rPr>
        <w:footnoteReference w:id="28"/>
      </w:r>
      <w:r w:rsidR="00144150">
        <w:rPr>
          <w:rFonts w:asciiTheme="minorHAnsi" w:hAnsiTheme="minorHAnsi" w:cs="Arial"/>
          <w:sz w:val="24"/>
          <w:szCs w:val="24"/>
        </w:rPr>
        <w:t xml:space="preserve"> A designated institution may also be a Further Education Corporation providing higher education. The present agreement governing institutional designation applies from August 2014 to July 2017.</w:t>
      </w:r>
      <w:r w:rsidR="00144150">
        <w:rPr>
          <w:rStyle w:val="FootnoteReference"/>
          <w:rFonts w:asciiTheme="minorHAnsi" w:hAnsiTheme="minorHAnsi" w:cs="Arial"/>
          <w:sz w:val="24"/>
          <w:szCs w:val="24"/>
        </w:rPr>
        <w:footnoteReference w:id="29"/>
      </w:r>
      <w:r w:rsidR="00144150">
        <w:rPr>
          <w:rFonts w:asciiTheme="minorHAnsi" w:hAnsiTheme="minorHAnsi" w:cs="Arial"/>
          <w:sz w:val="24"/>
          <w:szCs w:val="24"/>
        </w:rPr>
        <w:t xml:space="preserve">  The designated institutions enjoy designation for student loans through the SLC.  Alternative</w:t>
      </w:r>
      <w:r w:rsidR="00012250">
        <w:rPr>
          <w:rFonts w:asciiTheme="minorHAnsi" w:hAnsiTheme="minorHAnsi" w:cs="Arial"/>
          <w:sz w:val="24"/>
          <w:szCs w:val="24"/>
        </w:rPr>
        <w:t xml:space="preserve"> providers may seek designation and here it seems lies scope for a great deal of creative self-identification.</w:t>
      </w:r>
    </w:p>
    <w:p w14:paraId="303B5824" w14:textId="77777777" w:rsidR="00012250" w:rsidRDefault="00012250" w:rsidP="00144150">
      <w:pPr>
        <w:pStyle w:val="NormalWeb"/>
        <w:spacing w:before="0" w:beforeAutospacing="0" w:after="0" w:afterAutospacing="0" w:line="360" w:lineRule="auto"/>
        <w:jc w:val="both"/>
        <w:rPr>
          <w:rFonts w:asciiTheme="minorHAnsi" w:hAnsiTheme="minorHAnsi" w:cs="Arial"/>
          <w:sz w:val="24"/>
          <w:szCs w:val="24"/>
        </w:rPr>
      </w:pPr>
    </w:p>
    <w:p w14:paraId="5C5C4315" w14:textId="64A5C2BA" w:rsidR="00164780" w:rsidRDefault="00012250" w:rsidP="00164780">
      <w:pPr>
        <w:pStyle w:val="NormalWeb"/>
        <w:spacing w:line="360" w:lineRule="auto"/>
        <w:jc w:val="both"/>
        <w:rPr>
          <w:rFonts w:asciiTheme="minorHAnsi" w:hAnsiTheme="minorHAnsi" w:cs="Arial"/>
          <w:sz w:val="24"/>
          <w:szCs w:val="24"/>
        </w:rPr>
      </w:pPr>
      <w:r>
        <w:rPr>
          <w:rFonts w:asciiTheme="minorHAnsi" w:hAnsiTheme="minorHAnsi" w:cs="Arial"/>
          <w:sz w:val="24"/>
          <w:szCs w:val="24"/>
        </w:rPr>
        <w:t xml:space="preserve">47. </w:t>
      </w:r>
      <w:r w:rsidR="00164780">
        <w:rPr>
          <w:rFonts w:asciiTheme="minorHAnsi" w:hAnsiTheme="minorHAnsi" w:cs="Arial"/>
          <w:sz w:val="24"/>
          <w:szCs w:val="24"/>
        </w:rPr>
        <w:t>It will be</w:t>
      </w:r>
      <w:r w:rsidR="008167F9">
        <w:rPr>
          <w:rFonts w:asciiTheme="minorHAnsi" w:hAnsiTheme="minorHAnsi" w:cs="Arial"/>
          <w:sz w:val="24"/>
          <w:szCs w:val="24"/>
        </w:rPr>
        <w:t xml:space="preserve"> extremely difficult for the </w:t>
      </w:r>
      <w:r w:rsidR="00164780">
        <w:rPr>
          <w:rFonts w:asciiTheme="minorHAnsi" w:hAnsiTheme="minorHAnsi" w:cs="Arial"/>
          <w:sz w:val="24"/>
          <w:szCs w:val="24"/>
        </w:rPr>
        <w:t>prosective student</w:t>
      </w:r>
      <w:r w:rsidR="008167F9">
        <w:rPr>
          <w:rFonts w:asciiTheme="minorHAnsi" w:hAnsiTheme="minorHAnsi" w:cs="Arial"/>
          <w:sz w:val="24"/>
          <w:szCs w:val="24"/>
        </w:rPr>
        <w:t xml:space="preserve"> to understand what an alternative provider is</w:t>
      </w:r>
      <w:r w:rsidR="00164780">
        <w:rPr>
          <w:rFonts w:asciiTheme="minorHAnsi" w:hAnsiTheme="minorHAnsi" w:cs="Arial"/>
          <w:sz w:val="24"/>
          <w:szCs w:val="24"/>
        </w:rPr>
        <w:t xml:space="preserve"> and what it offers.</w:t>
      </w:r>
      <w:r w:rsidR="008167F9">
        <w:rPr>
          <w:rFonts w:asciiTheme="minorHAnsi" w:hAnsiTheme="minorHAnsi" w:cs="Arial"/>
          <w:sz w:val="24"/>
          <w:szCs w:val="24"/>
        </w:rPr>
        <w:t xml:space="preserve"> To take an </w:t>
      </w:r>
      <w:r>
        <w:rPr>
          <w:rFonts w:asciiTheme="minorHAnsi" w:hAnsiTheme="minorHAnsi" w:cs="Arial"/>
          <w:sz w:val="24"/>
          <w:szCs w:val="24"/>
        </w:rPr>
        <w:t>example, Tertiary Education Servi</w:t>
      </w:r>
      <w:r w:rsidR="00067CBC">
        <w:rPr>
          <w:rFonts w:asciiTheme="minorHAnsi" w:hAnsiTheme="minorHAnsi" w:cs="Arial"/>
          <w:sz w:val="24"/>
          <w:szCs w:val="24"/>
        </w:rPr>
        <w:t>c</w:t>
      </w:r>
      <w:r>
        <w:rPr>
          <w:rFonts w:asciiTheme="minorHAnsi" w:hAnsiTheme="minorHAnsi" w:cs="Arial"/>
          <w:sz w:val="24"/>
          <w:szCs w:val="24"/>
        </w:rPr>
        <w:t>es</w:t>
      </w:r>
      <w:r w:rsidR="00067CBC">
        <w:rPr>
          <w:rFonts w:asciiTheme="minorHAnsi" w:hAnsiTheme="minorHAnsi" w:cs="Arial"/>
          <w:sz w:val="24"/>
          <w:szCs w:val="24"/>
        </w:rPr>
        <w:t xml:space="preserve"> Ltd. is a company operating</w:t>
      </w:r>
      <w:r>
        <w:rPr>
          <w:rFonts w:asciiTheme="minorHAnsi" w:hAnsiTheme="minorHAnsi" w:cs="Arial"/>
          <w:sz w:val="24"/>
          <w:szCs w:val="24"/>
        </w:rPr>
        <w:t xml:space="preserve"> as t</w:t>
      </w:r>
      <w:r w:rsidR="00067CBC">
        <w:rPr>
          <w:rFonts w:asciiTheme="minorHAnsi" w:hAnsiTheme="minorHAnsi" w:cs="Arial"/>
          <w:sz w:val="24"/>
          <w:szCs w:val="24"/>
        </w:rPr>
        <w:t xml:space="preserve">he New College of the Humanities. It is clear from Companies House information that it has no links to other entities as a company, but  as a higher education provider it is now </w:t>
      </w:r>
      <w:r w:rsidR="00067CBC" w:rsidRPr="008167F9">
        <w:rPr>
          <w:rFonts w:asciiTheme="minorHAnsi" w:hAnsiTheme="minorHAnsi" w:cs="Arial"/>
          <w:sz w:val="24"/>
          <w:szCs w:val="24"/>
        </w:rPr>
        <w:t>to offer programmes for degrees awarded by Southampton Solent University</w:t>
      </w:r>
      <w:r w:rsidR="00164780">
        <w:rPr>
          <w:rFonts w:asciiTheme="minorHAnsi" w:hAnsiTheme="minorHAnsi" w:cs="Arial"/>
          <w:sz w:val="24"/>
          <w:szCs w:val="24"/>
        </w:rPr>
        <w:t>, an HEC which would become free to dissolve itself and transfer its assets to a private provider under the current proposals.</w:t>
      </w:r>
    </w:p>
    <w:p w14:paraId="719D858B" w14:textId="2EFD2426" w:rsidR="00164780" w:rsidRDefault="00164780" w:rsidP="00164780">
      <w:pPr>
        <w:pStyle w:val="NormalWeb"/>
        <w:spacing w:line="360" w:lineRule="auto"/>
        <w:jc w:val="both"/>
        <w:rPr>
          <w:rFonts w:asciiTheme="minorHAnsi" w:hAnsiTheme="minorHAnsi"/>
          <w:sz w:val="24"/>
          <w:szCs w:val="24"/>
        </w:rPr>
      </w:pPr>
      <w:r>
        <w:rPr>
          <w:rFonts w:asciiTheme="minorHAnsi" w:hAnsiTheme="minorHAnsi" w:cs="Arial"/>
          <w:sz w:val="24"/>
          <w:szCs w:val="24"/>
        </w:rPr>
        <w:t xml:space="preserve">48. </w:t>
      </w:r>
      <w:r w:rsidR="00067CBC" w:rsidRPr="008167F9">
        <w:rPr>
          <w:rFonts w:asciiTheme="minorHAnsi" w:hAnsiTheme="minorHAnsi" w:cs="Arial"/>
          <w:sz w:val="24"/>
          <w:szCs w:val="24"/>
        </w:rPr>
        <w:t xml:space="preserve"> </w:t>
      </w:r>
      <w:r w:rsidR="008167F9">
        <w:rPr>
          <w:rFonts w:asciiTheme="minorHAnsi" w:hAnsiTheme="minorHAnsi"/>
          <w:sz w:val="24"/>
          <w:szCs w:val="24"/>
        </w:rPr>
        <w:t>H</w:t>
      </w:r>
      <w:r>
        <w:rPr>
          <w:rFonts w:asciiTheme="minorHAnsi" w:hAnsiTheme="minorHAnsi"/>
          <w:sz w:val="24"/>
          <w:szCs w:val="24"/>
        </w:rPr>
        <w:t>itherto the New College of the Humanities</w:t>
      </w:r>
      <w:r w:rsidR="00067CBC" w:rsidRPr="008167F9">
        <w:rPr>
          <w:rFonts w:asciiTheme="minorHAnsi" w:hAnsiTheme="minorHAnsi"/>
          <w:sz w:val="24"/>
          <w:szCs w:val="24"/>
        </w:rPr>
        <w:t xml:space="preserve"> has been</w:t>
      </w:r>
      <w:r w:rsidR="008167F9">
        <w:rPr>
          <w:rFonts w:asciiTheme="minorHAnsi" w:hAnsiTheme="minorHAnsi"/>
          <w:sz w:val="24"/>
          <w:szCs w:val="24"/>
        </w:rPr>
        <w:t xml:space="preserve"> </w:t>
      </w:r>
      <w:r w:rsidR="008167F9" w:rsidRPr="008167F9">
        <w:rPr>
          <w:rFonts w:asciiTheme="minorHAnsi" w:hAnsiTheme="minorHAnsi" w:cs="Arial"/>
          <w:sz w:val="24"/>
          <w:szCs w:val="24"/>
        </w:rPr>
        <w:t>preparing its students</w:t>
      </w:r>
      <w:r w:rsidR="008167F9">
        <w:rPr>
          <w:rFonts w:asciiTheme="minorHAnsi" w:hAnsiTheme="minorHAnsi" w:cs="Arial"/>
          <w:sz w:val="24"/>
          <w:szCs w:val="24"/>
        </w:rPr>
        <w:t xml:space="preserve"> for entry to </w:t>
      </w:r>
      <w:r w:rsidR="008167F9" w:rsidRPr="008167F9">
        <w:rPr>
          <w:rFonts w:asciiTheme="minorHAnsi" w:hAnsiTheme="minorHAnsi" w:cs="Arial"/>
          <w:sz w:val="24"/>
          <w:szCs w:val="24"/>
        </w:rPr>
        <w:t xml:space="preserve">external </w:t>
      </w:r>
      <w:r w:rsidR="008167F9">
        <w:rPr>
          <w:rFonts w:asciiTheme="minorHAnsi" w:hAnsiTheme="minorHAnsi" w:cs="Arial"/>
          <w:sz w:val="24"/>
          <w:szCs w:val="24"/>
        </w:rPr>
        <w:t xml:space="preserve"> examinations for </w:t>
      </w:r>
      <w:r w:rsidR="008167F9" w:rsidRPr="008167F9">
        <w:rPr>
          <w:rFonts w:asciiTheme="minorHAnsi" w:hAnsiTheme="minorHAnsi" w:cs="Arial"/>
          <w:sz w:val="24"/>
          <w:szCs w:val="24"/>
        </w:rPr>
        <w:t>degrees</w:t>
      </w:r>
      <w:r w:rsidR="008167F9">
        <w:rPr>
          <w:rFonts w:asciiTheme="minorHAnsi" w:hAnsiTheme="minorHAnsi" w:cs="Arial"/>
          <w:sz w:val="24"/>
          <w:szCs w:val="24"/>
        </w:rPr>
        <w:t xml:space="preserve"> of the</w:t>
      </w:r>
      <w:r w:rsidR="00067CBC" w:rsidRPr="008167F9">
        <w:rPr>
          <w:rFonts w:asciiTheme="minorHAnsi" w:hAnsiTheme="minorHAnsi"/>
          <w:sz w:val="24"/>
          <w:szCs w:val="24"/>
        </w:rPr>
        <w:t xml:space="preserve"> </w:t>
      </w:r>
      <w:r w:rsidR="008167F9" w:rsidRPr="008167F9">
        <w:rPr>
          <w:rFonts w:asciiTheme="minorHAnsi" w:hAnsiTheme="minorHAnsi" w:cs="Arial"/>
          <w:sz w:val="24"/>
          <w:szCs w:val="24"/>
        </w:rPr>
        <w:t>University of London</w:t>
      </w:r>
      <w:r w:rsidR="008167F9">
        <w:rPr>
          <w:rFonts w:asciiTheme="minorHAnsi" w:hAnsiTheme="minorHAnsi" w:cs="Arial"/>
          <w:sz w:val="24"/>
          <w:szCs w:val="24"/>
        </w:rPr>
        <w:t xml:space="preserve"> under London’s Inte</w:t>
      </w:r>
      <w:r>
        <w:rPr>
          <w:rFonts w:asciiTheme="minorHAnsi" w:hAnsiTheme="minorHAnsi" w:cs="Arial"/>
          <w:sz w:val="24"/>
          <w:szCs w:val="24"/>
        </w:rPr>
        <w:t xml:space="preserve">rnational Programmes provision. </w:t>
      </w:r>
      <w:r w:rsidR="00067CBC" w:rsidRPr="008167F9">
        <w:rPr>
          <w:rFonts w:asciiTheme="minorHAnsi" w:hAnsiTheme="minorHAnsi" w:cs="Arial"/>
          <w:sz w:val="24"/>
          <w:szCs w:val="24"/>
        </w:rPr>
        <w:t>No formal operating agreement exists with the University of London</w:t>
      </w:r>
      <w:r w:rsidR="008167F9">
        <w:rPr>
          <w:rFonts w:asciiTheme="minorHAnsi" w:hAnsiTheme="minorHAnsi" w:cs="Arial"/>
          <w:sz w:val="24"/>
          <w:szCs w:val="24"/>
        </w:rPr>
        <w:t>.</w:t>
      </w:r>
      <w:r w:rsidR="008167F9" w:rsidRPr="008167F9">
        <w:rPr>
          <w:rFonts w:asciiTheme="minorHAnsi" w:hAnsiTheme="minorHAnsi" w:cs="Arial"/>
          <w:sz w:val="24"/>
          <w:szCs w:val="24"/>
        </w:rPr>
        <w:t xml:space="preserve"> </w:t>
      </w:r>
      <w:r w:rsidR="008167F9">
        <w:rPr>
          <w:rFonts w:asciiTheme="minorHAnsi" w:hAnsiTheme="minorHAnsi" w:cs="Arial"/>
          <w:sz w:val="24"/>
          <w:szCs w:val="24"/>
        </w:rPr>
        <w:t>This</w:t>
      </w:r>
      <w:r w:rsidR="00067CBC" w:rsidRPr="008167F9">
        <w:rPr>
          <w:rFonts w:asciiTheme="minorHAnsi" w:hAnsiTheme="minorHAnsi" w:cs="Arial"/>
          <w:sz w:val="24"/>
          <w:szCs w:val="24"/>
        </w:rPr>
        <w:t xml:space="preserve"> </w:t>
      </w:r>
      <w:r w:rsidR="008167F9" w:rsidRPr="008167F9">
        <w:rPr>
          <w:rFonts w:asciiTheme="minorHAnsi" w:hAnsiTheme="minorHAnsi" w:cs="Arial"/>
          <w:sz w:val="24"/>
          <w:szCs w:val="24"/>
        </w:rPr>
        <w:t xml:space="preserve"> provision </w:t>
      </w:r>
      <w:r w:rsidR="008167F9">
        <w:rPr>
          <w:rFonts w:asciiTheme="minorHAnsi" w:hAnsiTheme="minorHAnsi" w:cs="Arial"/>
          <w:sz w:val="24"/>
          <w:szCs w:val="24"/>
        </w:rPr>
        <w:t xml:space="preserve"> therefore </w:t>
      </w:r>
      <w:r w:rsidR="008167F9" w:rsidRPr="008167F9">
        <w:rPr>
          <w:rFonts w:asciiTheme="minorHAnsi" w:hAnsiTheme="minorHAnsi" w:cs="Arial"/>
          <w:sz w:val="24"/>
          <w:szCs w:val="24"/>
        </w:rPr>
        <w:t>falls</w:t>
      </w:r>
      <w:r w:rsidR="00067CBC" w:rsidRPr="008167F9">
        <w:rPr>
          <w:rFonts w:asciiTheme="minorHAnsi" w:hAnsiTheme="minorHAnsi" w:cs="Arial"/>
          <w:sz w:val="24"/>
          <w:szCs w:val="24"/>
        </w:rPr>
        <w:t xml:space="preserve"> outside the </w:t>
      </w:r>
      <w:r w:rsidR="00067CBC" w:rsidRPr="008167F9">
        <w:rPr>
          <w:rFonts w:asciiTheme="minorHAnsi" w:hAnsiTheme="minorHAnsi" w:cs="Arial"/>
          <w:sz w:val="24"/>
          <w:szCs w:val="24"/>
        </w:rPr>
        <w:lastRenderedPageBreak/>
        <w:t xml:space="preserve">scope of </w:t>
      </w:r>
      <w:r w:rsidR="008167F9">
        <w:rPr>
          <w:rFonts w:asciiTheme="minorHAnsi" w:hAnsiTheme="minorHAnsi" w:cs="Arial"/>
          <w:sz w:val="24"/>
          <w:szCs w:val="24"/>
        </w:rPr>
        <w:t xml:space="preserve">one of the UK Expectations (A1), designed to establish whether there is confidence in the academic standards of awards offered, as noted when the QAA conducted its </w:t>
      </w:r>
      <w:r w:rsidR="008167F9" w:rsidRPr="008167F9">
        <w:rPr>
          <w:rFonts w:asciiTheme="minorHAnsi" w:hAnsiTheme="minorHAnsi"/>
          <w:sz w:val="24"/>
          <w:szCs w:val="24"/>
        </w:rPr>
        <w:t>Higher Education Review (Plus)</w:t>
      </w:r>
      <w:r w:rsidR="008167F9">
        <w:rPr>
          <w:rFonts w:asciiTheme="minorHAnsi" w:hAnsiTheme="minorHAnsi"/>
          <w:sz w:val="24"/>
          <w:szCs w:val="24"/>
        </w:rPr>
        <w:t xml:space="preserve"> </w:t>
      </w:r>
      <w:r w:rsidR="008167F9" w:rsidRPr="008167F9">
        <w:rPr>
          <w:rFonts w:asciiTheme="minorHAnsi" w:hAnsiTheme="minorHAnsi"/>
          <w:sz w:val="24"/>
          <w:szCs w:val="24"/>
        </w:rPr>
        <w:t>of this provider</w:t>
      </w:r>
      <w:r>
        <w:rPr>
          <w:rFonts w:asciiTheme="minorHAnsi" w:hAnsiTheme="minorHAnsi"/>
          <w:sz w:val="24"/>
          <w:szCs w:val="24"/>
        </w:rPr>
        <w:t xml:space="preserve"> in February 2015.</w:t>
      </w:r>
      <w:r w:rsidR="008167F9">
        <w:rPr>
          <w:rFonts w:asciiTheme="minorHAnsi" w:hAnsiTheme="minorHAnsi"/>
          <w:sz w:val="24"/>
          <w:szCs w:val="24"/>
        </w:rPr>
        <w:t xml:space="preserve"> </w:t>
      </w:r>
      <w:r w:rsidRPr="00164780">
        <w:rPr>
          <w:rFonts w:asciiTheme="minorHAnsi" w:hAnsiTheme="minorHAnsi" w:cs="Arial"/>
          <w:sz w:val="24"/>
          <w:szCs w:val="24"/>
        </w:rPr>
        <w:t>The QAA recommended that the College</w:t>
      </w:r>
      <w:r>
        <w:rPr>
          <w:rFonts w:asciiTheme="minorHAnsi" w:hAnsiTheme="minorHAnsi" w:cs="Arial"/>
          <w:sz w:val="24"/>
          <w:szCs w:val="24"/>
        </w:rPr>
        <w:t>, which has been granting its own Diploma,</w:t>
      </w:r>
      <w:r w:rsidRPr="00164780">
        <w:rPr>
          <w:rFonts w:asciiTheme="minorHAnsi" w:hAnsiTheme="minorHAnsi" w:cs="Arial"/>
          <w:sz w:val="24"/>
          <w:szCs w:val="24"/>
        </w:rPr>
        <w:t xml:space="preserve"> ‘ensure that the status of the NCH diploma as a non-credit bearing award is made explicit to all stakeholders’.</w:t>
      </w:r>
      <w:r w:rsidRPr="00164780">
        <w:rPr>
          <w:rStyle w:val="FootnoteReference"/>
          <w:rFonts w:asciiTheme="minorHAnsi" w:hAnsiTheme="minorHAnsi"/>
          <w:sz w:val="24"/>
          <w:szCs w:val="24"/>
        </w:rPr>
        <w:t xml:space="preserve"> </w:t>
      </w:r>
      <w:r w:rsidRPr="00164780">
        <w:rPr>
          <w:rStyle w:val="FootnoteReference"/>
          <w:rFonts w:asciiTheme="minorHAnsi" w:hAnsiTheme="minorHAnsi"/>
          <w:sz w:val="24"/>
          <w:szCs w:val="24"/>
        </w:rPr>
        <w:footnoteReference w:id="30"/>
      </w:r>
      <w:r>
        <w:rPr>
          <w:rFonts w:asciiTheme="minorHAnsi" w:hAnsiTheme="minorHAnsi"/>
          <w:sz w:val="24"/>
          <w:szCs w:val="24"/>
        </w:rPr>
        <w:t xml:space="preserve">  The NCH will now come under those some of those Expectations. </w:t>
      </w:r>
      <w:r w:rsidR="008167F9" w:rsidRPr="008167F9">
        <w:rPr>
          <w:rFonts w:asciiTheme="minorHAnsi" w:hAnsiTheme="minorHAnsi"/>
          <w:sz w:val="24"/>
          <w:szCs w:val="24"/>
        </w:rPr>
        <w:t>‘</w:t>
      </w:r>
      <w:r w:rsidR="008167F9" w:rsidRPr="008167F9">
        <w:rPr>
          <w:rFonts w:asciiTheme="minorHAnsi" w:hAnsiTheme="minorHAnsi" w:cs="Arial"/>
          <w:sz w:val="24"/>
          <w:szCs w:val="24"/>
        </w:rPr>
        <w:t xml:space="preserve">The College plans to deliver 22 major minor programme </w:t>
      </w:r>
      <w:r w:rsidR="008167F9" w:rsidRPr="00164780">
        <w:rPr>
          <w:rFonts w:asciiTheme="minorHAnsi" w:hAnsiTheme="minorHAnsi" w:cs="Arial"/>
          <w:sz w:val="24"/>
          <w:szCs w:val="24"/>
        </w:rPr>
        <w:t>combinations in partnership with Southampton Solent University (SSU) from 2015’, but SSU not the College of the Humanities</w:t>
      </w:r>
      <w:r w:rsidRPr="00164780">
        <w:rPr>
          <w:rFonts w:asciiTheme="minorHAnsi" w:hAnsiTheme="minorHAnsi" w:cs="Arial"/>
          <w:sz w:val="24"/>
          <w:szCs w:val="24"/>
        </w:rPr>
        <w:t xml:space="preserve"> will be ‘responsible for the assurance of standards of the validated awards delivered at the College</w:t>
      </w:r>
      <w:r>
        <w:rPr>
          <w:rFonts w:asciiTheme="minorHAnsi" w:hAnsiTheme="minorHAnsi" w:cs="Arial"/>
          <w:sz w:val="24"/>
          <w:szCs w:val="24"/>
        </w:rPr>
        <w:t>’.</w:t>
      </w:r>
      <w:r w:rsidRPr="00164780">
        <w:rPr>
          <w:rStyle w:val="FootnoteReference"/>
          <w:rFonts w:asciiTheme="minorHAnsi" w:hAnsiTheme="minorHAnsi"/>
          <w:sz w:val="24"/>
          <w:szCs w:val="24"/>
        </w:rPr>
        <w:t xml:space="preserve"> </w:t>
      </w:r>
      <w:r w:rsidRPr="00164780">
        <w:rPr>
          <w:rStyle w:val="FootnoteReference"/>
          <w:rFonts w:asciiTheme="minorHAnsi" w:hAnsiTheme="minorHAnsi"/>
          <w:sz w:val="24"/>
          <w:szCs w:val="24"/>
        </w:rPr>
        <w:footnoteReference w:id="31"/>
      </w:r>
      <w:r w:rsidRPr="00164780">
        <w:rPr>
          <w:rFonts w:asciiTheme="minorHAnsi" w:hAnsiTheme="minorHAnsi" w:cs="Arial"/>
          <w:sz w:val="24"/>
          <w:szCs w:val="24"/>
        </w:rPr>
        <w:t xml:space="preserve"> </w:t>
      </w:r>
    </w:p>
    <w:p w14:paraId="43190D92" w14:textId="7603C3E6" w:rsidR="00164780" w:rsidRDefault="00164780" w:rsidP="00164780">
      <w:pPr>
        <w:pStyle w:val="NormalWeb"/>
        <w:spacing w:line="360" w:lineRule="auto"/>
        <w:jc w:val="both"/>
        <w:rPr>
          <w:rFonts w:asciiTheme="minorHAnsi" w:hAnsiTheme="minorHAnsi"/>
          <w:sz w:val="24"/>
          <w:szCs w:val="24"/>
        </w:rPr>
      </w:pPr>
      <w:r>
        <w:rPr>
          <w:rFonts w:asciiTheme="minorHAnsi" w:hAnsiTheme="minorHAnsi"/>
          <w:sz w:val="24"/>
          <w:szCs w:val="24"/>
        </w:rPr>
        <w:t xml:space="preserve">48. </w:t>
      </w:r>
      <w:r w:rsidR="0029003C">
        <w:rPr>
          <w:rFonts w:asciiTheme="minorHAnsi" w:hAnsiTheme="minorHAnsi"/>
          <w:sz w:val="24"/>
          <w:szCs w:val="24"/>
        </w:rPr>
        <w:t>The small number of alternative providers which have recently-acquired DAP and UT seem to have proved attractive to overseas buyers.  BPP, a limited company, was taken over by Apollo in 2009 after it</w:t>
      </w:r>
      <w:r w:rsidR="00CB4495">
        <w:rPr>
          <w:rFonts w:asciiTheme="minorHAnsi" w:hAnsiTheme="minorHAnsi"/>
          <w:sz w:val="24"/>
          <w:szCs w:val="24"/>
        </w:rPr>
        <w:t xml:space="preserve"> had</w:t>
      </w:r>
      <w:r w:rsidR="0029003C">
        <w:rPr>
          <w:rFonts w:asciiTheme="minorHAnsi" w:hAnsiTheme="minorHAnsi"/>
          <w:sz w:val="24"/>
          <w:szCs w:val="24"/>
        </w:rPr>
        <w:t xml:space="preserve"> gained temporary degree-awarding powers. Apollo lists  </w:t>
      </w:r>
      <w:r w:rsidR="00CB4495">
        <w:rPr>
          <w:rFonts w:asciiTheme="minorHAnsi" w:hAnsiTheme="minorHAnsi"/>
          <w:sz w:val="24"/>
          <w:szCs w:val="24"/>
        </w:rPr>
        <w:t>BPP®, the registered trade mark of BPP Holdings,</w:t>
      </w:r>
      <w:r w:rsidR="0029003C">
        <w:rPr>
          <w:rFonts w:asciiTheme="minorHAnsi" w:hAnsiTheme="minorHAnsi"/>
          <w:sz w:val="24"/>
          <w:szCs w:val="24"/>
        </w:rPr>
        <w:t xml:space="preserve"> at the top of its website.</w:t>
      </w:r>
      <w:r w:rsidR="0029003C">
        <w:rPr>
          <w:rStyle w:val="FootnoteReference"/>
          <w:rFonts w:asciiTheme="minorHAnsi" w:hAnsiTheme="minorHAnsi"/>
          <w:sz w:val="24"/>
          <w:szCs w:val="24"/>
        </w:rPr>
        <w:footnoteReference w:id="32"/>
      </w:r>
      <w:r w:rsidR="0029003C">
        <w:rPr>
          <w:rFonts w:asciiTheme="minorHAnsi" w:hAnsiTheme="minorHAnsi"/>
          <w:sz w:val="24"/>
          <w:szCs w:val="24"/>
        </w:rPr>
        <w:t xml:space="preserve">  This is </w:t>
      </w:r>
      <w:r w:rsidR="00CB4495">
        <w:rPr>
          <w:rFonts w:asciiTheme="minorHAnsi" w:hAnsiTheme="minorHAnsi"/>
          <w:sz w:val="24"/>
          <w:szCs w:val="24"/>
        </w:rPr>
        <w:t xml:space="preserve">now </w:t>
      </w:r>
      <w:r w:rsidR="0029003C">
        <w:rPr>
          <w:rFonts w:asciiTheme="minorHAnsi" w:hAnsiTheme="minorHAnsi"/>
          <w:sz w:val="24"/>
          <w:szCs w:val="24"/>
        </w:rPr>
        <w:t xml:space="preserve">divided </w:t>
      </w:r>
      <w:r w:rsidR="00CB4495">
        <w:rPr>
          <w:rFonts w:asciiTheme="minorHAnsi" w:hAnsiTheme="minorHAnsi"/>
          <w:sz w:val="24"/>
          <w:szCs w:val="24"/>
        </w:rPr>
        <w:t>into</w:t>
      </w:r>
      <w:r w:rsidR="0029003C">
        <w:rPr>
          <w:rFonts w:asciiTheme="minorHAnsi" w:hAnsiTheme="minorHAnsi"/>
          <w:sz w:val="24"/>
          <w:szCs w:val="24"/>
        </w:rPr>
        <w:t xml:space="preserve"> BPP Professional Education; BPP University and BPP Learning Media. BPP </w:t>
      </w:r>
      <w:r w:rsidR="00CB4495">
        <w:rPr>
          <w:rFonts w:asciiTheme="minorHAnsi" w:hAnsiTheme="minorHAnsi"/>
          <w:sz w:val="24"/>
          <w:szCs w:val="24"/>
        </w:rPr>
        <w:t xml:space="preserve"> University </w:t>
      </w:r>
      <w:r w:rsidR="0029003C">
        <w:rPr>
          <w:rFonts w:asciiTheme="minorHAnsi" w:hAnsiTheme="minorHAnsi"/>
          <w:sz w:val="24"/>
          <w:szCs w:val="24"/>
        </w:rPr>
        <w:t>describes itself as ‘part of the Apollo Global Education Network’.</w:t>
      </w:r>
      <w:r w:rsidR="0029003C">
        <w:rPr>
          <w:rStyle w:val="FootnoteReference"/>
          <w:rFonts w:asciiTheme="minorHAnsi" w:hAnsiTheme="minorHAnsi"/>
          <w:sz w:val="24"/>
          <w:szCs w:val="24"/>
        </w:rPr>
        <w:footnoteReference w:id="33"/>
      </w:r>
      <w:r w:rsidR="00CB4495">
        <w:rPr>
          <w:rFonts w:asciiTheme="minorHAnsi" w:hAnsiTheme="minorHAnsi"/>
          <w:sz w:val="24"/>
          <w:szCs w:val="24"/>
        </w:rPr>
        <w:t xml:space="preserve">  It was the subject of a QAA action plan requirement when it was reviewed in 2012 while still a University College.</w:t>
      </w:r>
      <w:r w:rsidR="00CB4495">
        <w:rPr>
          <w:rStyle w:val="FootnoteReference"/>
          <w:rFonts w:asciiTheme="minorHAnsi" w:hAnsiTheme="minorHAnsi"/>
          <w:sz w:val="24"/>
          <w:szCs w:val="24"/>
        </w:rPr>
        <w:footnoteReference w:id="34"/>
      </w:r>
      <w:r w:rsidR="00CB4495">
        <w:rPr>
          <w:rFonts w:asciiTheme="minorHAnsi" w:hAnsiTheme="minorHAnsi"/>
          <w:sz w:val="24"/>
          <w:szCs w:val="24"/>
        </w:rPr>
        <w:t xml:space="preserve"> This was updated in 2014.</w:t>
      </w:r>
      <w:r w:rsidR="00CB4495">
        <w:rPr>
          <w:rStyle w:val="FootnoteReference"/>
          <w:rFonts w:asciiTheme="minorHAnsi" w:hAnsiTheme="minorHAnsi"/>
          <w:sz w:val="24"/>
          <w:szCs w:val="24"/>
        </w:rPr>
        <w:footnoteReference w:id="35"/>
      </w:r>
    </w:p>
    <w:p w14:paraId="07F3C5F5" w14:textId="77777777" w:rsidR="008F3B2A" w:rsidRDefault="00CB4495" w:rsidP="00164780">
      <w:pPr>
        <w:pStyle w:val="NormalWeb"/>
        <w:spacing w:line="360" w:lineRule="auto"/>
        <w:jc w:val="both"/>
        <w:rPr>
          <w:rFonts w:asciiTheme="minorHAnsi" w:hAnsiTheme="minorHAnsi" w:cs="Helvetica Neue"/>
          <w:bCs/>
          <w:color w:val="262626"/>
          <w:sz w:val="24"/>
          <w:szCs w:val="24"/>
        </w:rPr>
      </w:pPr>
      <w:r>
        <w:rPr>
          <w:rFonts w:asciiTheme="minorHAnsi" w:hAnsiTheme="minorHAnsi"/>
          <w:sz w:val="24"/>
          <w:szCs w:val="24"/>
        </w:rPr>
        <w:lastRenderedPageBreak/>
        <w:t xml:space="preserve">49. </w:t>
      </w:r>
      <w:r w:rsidR="008F3B2A">
        <w:rPr>
          <w:rFonts w:asciiTheme="minorHAnsi" w:hAnsiTheme="minorHAnsi"/>
          <w:sz w:val="24"/>
          <w:szCs w:val="24"/>
        </w:rPr>
        <w:t>This is one example</w:t>
      </w:r>
      <w:r>
        <w:rPr>
          <w:rFonts w:asciiTheme="minorHAnsi" w:hAnsiTheme="minorHAnsi"/>
          <w:sz w:val="24"/>
          <w:szCs w:val="24"/>
        </w:rPr>
        <w:t xml:space="preserve"> of </w:t>
      </w:r>
      <w:r w:rsidR="008F3B2A">
        <w:rPr>
          <w:rFonts w:asciiTheme="minorHAnsi" w:hAnsiTheme="minorHAnsi"/>
          <w:sz w:val="24"/>
          <w:szCs w:val="24"/>
        </w:rPr>
        <w:t xml:space="preserve"> the</w:t>
      </w:r>
      <w:r>
        <w:rPr>
          <w:rFonts w:asciiTheme="minorHAnsi" w:hAnsiTheme="minorHAnsi"/>
          <w:sz w:val="24"/>
          <w:szCs w:val="24"/>
        </w:rPr>
        <w:t xml:space="preserve"> alternative providers</w:t>
      </w:r>
      <w:r w:rsidR="008F3B2A">
        <w:rPr>
          <w:rFonts w:asciiTheme="minorHAnsi" w:hAnsiTheme="minorHAnsi"/>
          <w:sz w:val="24"/>
          <w:szCs w:val="24"/>
        </w:rPr>
        <w:t xml:space="preserve"> which are not fully meeting ‘UK expectations’ or stand in complex and imperfectly defined relationships to global organisations</w:t>
      </w:r>
      <w:r>
        <w:rPr>
          <w:rFonts w:asciiTheme="minorHAnsi" w:hAnsiTheme="minorHAnsi"/>
          <w:sz w:val="24"/>
          <w:szCs w:val="24"/>
        </w:rPr>
        <w:t xml:space="preserve">, some the subject of QAA Concerns reports which may be read on the QAA website, some </w:t>
      </w:r>
      <w:r w:rsidR="008F3B2A">
        <w:rPr>
          <w:rFonts w:asciiTheme="minorHAnsi" w:hAnsiTheme="minorHAnsi"/>
          <w:sz w:val="24"/>
          <w:szCs w:val="24"/>
        </w:rPr>
        <w:t xml:space="preserve">noted in the National Audit Office </w:t>
      </w:r>
      <w:r w:rsidR="008F3B2A" w:rsidRPr="008F3B2A">
        <w:rPr>
          <w:rFonts w:asciiTheme="minorHAnsi" w:hAnsiTheme="minorHAnsi" w:cs="Helvetica Neue"/>
          <w:bCs/>
          <w:i/>
          <w:color w:val="262626"/>
          <w:sz w:val="24"/>
          <w:szCs w:val="24"/>
        </w:rPr>
        <w:t>Investigation into financial support for students at alternative higher education providers</w:t>
      </w:r>
      <w:r w:rsidR="008F3B2A">
        <w:rPr>
          <w:rFonts w:asciiTheme="minorHAnsi" w:hAnsiTheme="minorHAnsi" w:cs="Helvetica Neue"/>
          <w:bCs/>
          <w:i/>
          <w:color w:val="262626"/>
          <w:sz w:val="24"/>
          <w:szCs w:val="24"/>
        </w:rPr>
        <w:t xml:space="preserve"> </w:t>
      </w:r>
      <w:r w:rsidR="008F3B2A">
        <w:rPr>
          <w:rFonts w:asciiTheme="minorHAnsi" w:hAnsiTheme="minorHAnsi" w:cs="Helvetica Neue"/>
          <w:bCs/>
          <w:color w:val="262626"/>
          <w:sz w:val="24"/>
          <w:szCs w:val="24"/>
        </w:rPr>
        <w:t>(2014).</w:t>
      </w:r>
      <w:r w:rsidR="008F3B2A">
        <w:rPr>
          <w:rStyle w:val="FootnoteReference"/>
          <w:rFonts w:asciiTheme="minorHAnsi" w:hAnsiTheme="minorHAnsi"/>
          <w:sz w:val="24"/>
          <w:szCs w:val="24"/>
        </w:rPr>
        <w:footnoteReference w:id="36"/>
      </w:r>
      <w:r w:rsidR="008F3B2A">
        <w:rPr>
          <w:rFonts w:asciiTheme="minorHAnsi" w:hAnsiTheme="minorHAnsi" w:cs="Helvetica Neue"/>
          <w:bCs/>
          <w:color w:val="262626"/>
          <w:sz w:val="24"/>
          <w:szCs w:val="24"/>
        </w:rPr>
        <w:t xml:space="preserve">  </w:t>
      </w:r>
    </w:p>
    <w:p w14:paraId="097F4445" w14:textId="0C6FE9D7" w:rsidR="00CB4495" w:rsidRDefault="008F3B2A" w:rsidP="00F96E28">
      <w:pPr>
        <w:pStyle w:val="NormalWeb"/>
        <w:spacing w:line="360" w:lineRule="auto"/>
        <w:jc w:val="both"/>
        <w:rPr>
          <w:rFonts w:asciiTheme="minorHAnsi" w:hAnsiTheme="minorHAnsi" w:cs="Helvetica Neue"/>
          <w:bCs/>
          <w:color w:val="262626"/>
          <w:sz w:val="24"/>
          <w:szCs w:val="24"/>
        </w:rPr>
      </w:pPr>
      <w:r>
        <w:rPr>
          <w:rFonts w:asciiTheme="minorHAnsi" w:hAnsiTheme="minorHAnsi" w:cs="Helvetica Neue"/>
          <w:bCs/>
          <w:color w:val="262626"/>
          <w:sz w:val="24"/>
          <w:szCs w:val="24"/>
        </w:rPr>
        <w:t xml:space="preserve">50. The Public Accounts Committee published a report of an inquiry into </w:t>
      </w:r>
      <w:r w:rsidRPr="008F3B2A">
        <w:rPr>
          <w:rFonts w:asciiTheme="minorHAnsi" w:hAnsiTheme="minorHAnsi" w:cs="Verdana"/>
          <w:i/>
          <w:sz w:val="24"/>
          <w:szCs w:val="24"/>
        </w:rPr>
        <w:t>Control over funding for alternative higher education bodies</w:t>
      </w:r>
      <w:r>
        <w:rPr>
          <w:rFonts w:asciiTheme="minorHAnsi" w:hAnsiTheme="minorHAnsi" w:cs="Verdana"/>
          <w:i/>
          <w:sz w:val="24"/>
          <w:szCs w:val="24"/>
        </w:rPr>
        <w:t xml:space="preserve"> </w:t>
      </w:r>
      <w:r w:rsidR="00F96E28">
        <w:rPr>
          <w:rFonts w:asciiTheme="minorHAnsi" w:hAnsiTheme="minorHAnsi" w:cs="Verdana"/>
          <w:sz w:val="24"/>
          <w:szCs w:val="24"/>
        </w:rPr>
        <w:t>(</w:t>
      </w:r>
      <w:r w:rsidRPr="008F3B2A">
        <w:rPr>
          <w:rFonts w:asciiTheme="minorHAnsi" w:hAnsiTheme="minorHAnsi" w:cs="Verdana"/>
          <w:sz w:val="24"/>
          <w:szCs w:val="24"/>
        </w:rPr>
        <w:t>February, 2015</w:t>
      </w:r>
      <w:r>
        <w:rPr>
          <w:rFonts w:asciiTheme="minorHAnsi" w:hAnsiTheme="minorHAnsi" w:cs="Verdana"/>
          <w:i/>
          <w:sz w:val="24"/>
          <w:szCs w:val="24"/>
        </w:rPr>
        <w:t>).</w:t>
      </w:r>
      <w:r w:rsidRPr="008F3B2A">
        <w:rPr>
          <w:rFonts w:asciiTheme="minorHAnsi" w:hAnsiTheme="minorHAnsi" w:cs="Helvetica Neue"/>
          <w:bCs/>
          <w:i/>
          <w:color w:val="262626"/>
          <w:sz w:val="24"/>
          <w:szCs w:val="24"/>
        </w:rPr>
        <w:t xml:space="preserve"> </w:t>
      </w:r>
      <w:r>
        <w:rPr>
          <w:rFonts w:asciiTheme="minorHAnsi" w:hAnsiTheme="minorHAnsi" w:cs="Helvetica Neue"/>
          <w:bCs/>
          <w:color w:val="262626"/>
          <w:sz w:val="24"/>
          <w:szCs w:val="24"/>
        </w:rPr>
        <w:t>This was concerned primarily with the evidence that taxpayers’ money was being wasted through the inappropriate award of student loans, but it included among a series of strong recommendations:</w:t>
      </w:r>
    </w:p>
    <w:p w14:paraId="01C2E76A" w14:textId="77777777" w:rsidR="008F3B2A" w:rsidRPr="008F3B2A" w:rsidRDefault="008F3B2A" w:rsidP="00F96E28">
      <w:pPr>
        <w:widowControl w:val="0"/>
        <w:autoSpaceDE w:val="0"/>
        <w:autoSpaceDN w:val="0"/>
        <w:adjustRightInd w:val="0"/>
        <w:spacing w:after="0" w:line="360" w:lineRule="auto"/>
        <w:jc w:val="both"/>
        <w:rPr>
          <w:rFonts w:cs="Verdana"/>
          <w:i/>
          <w:color w:val="262626"/>
          <w:szCs w:val="24"/>
        </w:rPr>
      </w:pPr>
      <w:r w:rsidRPr="008F3B2A">
        <w:rPr>
          <w:rFonts w:cs="Verdana"/>
          <w:b/>
          <w:bCs/>
          <w:i/>
          <w:color w:val="262626"/>
          <w:szCs w:val="24"/>
        </w:rPr>
        <w:t xml:space="preserve">5.  The Department does not monitor what it is achieving from expansion of the alternative provider sector. </w:t>
      </w:r>
      <w:r w:rsidRPr="008F3B2A">
        <w:rPr>
          <w:rFonts w:cs="Verdana"/>
          <w:i/>
          <w:color w:val="262626"/>
          <w:szCs w:val="24"/>
        </w:rPr>
        <w:t>One of the objectives of the Government's higher education reforms was to improve student choice by supporting a more diverse sector. More opportunities for part-time study, sandwich courses or distance learning were intended to widen access for groups who were previously less likely to enter higher education, for example older students or those on low incomes. However, the Department did not define any measures that would allow it to judge whether implementation of the policy has been successful. Furthermore, the Department has not collected sufficient data on the alternative provider sector, such as the number of students from lower socio-economic groups who have gained a higher education qualification. Such information would help the Department assess whether the policy is working.</w:t>
      </w:r>
    </w:p>
    <w:p w14:paraId="6F1C10D7" w14:textId="0A731748" w:rsidR="008F3B2A" w:rsidRPr="008F3B2A" w:rsidRDefault="008F3B2A" w:rsidP="00F96E28">
      <w:pPr>
        <w:pStyle w:val="NormalWeb"/>
        <w:spacing w:line="360" w:lineRule="auto"/>
        <w:jc w:val="both"/>
        <w:rPr>
          <w:rFonts w:asciiTheme="minorHAnsi" w:hAnsiTheme="minorHAnsi"/>
          <w:i/>
          <w:sz w:val="24"/>
          <w:szCs w:val="24"/>
        </w:rPr>
      </w:pPr>
      <w:r w:rsidRPr="008F3B2A">
        <w:rPr>
          <w:rFonts w:asciiTheme="minorHAnsi" w:hAnsiTheme="minorHAnsi" w:cs="Verdana"/>
          <w:b/>
          <w:bCs/>
          <w:i/>
          <w:color w:val="262626"/>
          <w:sz w:val="24"/>
          <w:szCs w:val="24"/>
        </w:rPr>
        <w:t>Recommendation</w:t>
      </w:r>
      <w:r w:rsidRPr="008F3B2A">
        <w:rPr>
          <w:rFonts w:asciiTheme="minorHAnsi" w:hAnsiTheme="minorHAnsi" w:cs="Verdana"/>
          <w:b/>
          <w:bCs/>
          <w:i/>
          <w:iCs/>
          <w:color w:val="262626"/>
          <w:sz w:val="24"/>
          <w:szCs w:val="24"/>
        </w:rPr>
        <w:t xml:space="preserve">: The Department needs to set specific, measurable objectives for this policy, and collect and analyse the right data in order to evaluate the full </w:t>
      </w:r>
      <w:r w:rsidRPr="008F3B2A">
        <w:rPr>
          <w:rFonts w:asciiTheme="minorHAnsi" w:hAnsiTheme="minorHAnsi" w:cs="Verdana"/>
          <w:b/>
          <w:bCs/>
          <w:i/>
          <w:iCs/>
          <w:color w:val="262626"/>
          <w:sz w:val="24"/>
          <w:szCs w:val="24"/>
        </w:rPr>
        <w:lastRenderedPageBreak/>
        <w:t>impact, taking account of any unanticipated impacts, such as the recruitment of EU students. </w:t>
      </w:r>
      <w:r>
        <w:rPr>
          <w:rStyle w:val="FootnoteReference"/>
          <w:rFonts w:asciiTheme="minorHAnsi" w:hAnsiTheme="minorHAnsi" w:cs="Verdana"/>
          <w:b/>
          <w:bCs/>
          <w:i/>
          <w:iCs/>
          <w:color w:val="262626"/>
          <w:sz w:val="24"/>
          <w:szCs w:val="24"/>
        </w:rPr>
        <w:footnoteReference w:id="37"/>
      </w:r>
    </w:p>
    <w:p w14:paraId="6FB137BD" w14:textId="035465DF" w:rsidR="00012250" w:rsidRDefault="00F96E28" w:rsidP="00144150">
      <w:pPr>
        <w:pStyle w:val="NormalWeb"/>
        <w:spacing w:before="0" w:beforeAutospacing="0" w:after="0" w:afterAutospacing="0" w:line="360" w:lineRule="auto"/>
        <w:jc w:val="both"/>
        <w:rPr>
          <w:rFonts w:asciiTheme="minorHAnsi" w:hAnsiTheme="minorHAnsi" w:cs="Arial"/>
          <w:sz w:val="24"/>
          <w:szCs w:val="24"/>
        </w:rPr>
      </w:pPr>
      <w:r>
        <w:rPr>
          <w:rFonts w:asciiTheme="minorHAnsi" w:hAnsiTheme="minorHAnsi" w:cs="Arial"/>
          <w:sz w:val="24"/>
          <w:szCs w:val="24"/>
        </w:rPr>
        <w:t>The Green Paper makes no reference to this finding with its clear warning of the risks of continuing with a blanket policy of adding to the range and number of alternative providers.</w:t>
      </w:r>
    </w:p>
    <w:p w14:paraId="6FD0AF6C" w14:textId="77777777" w:rsidR="00144150" w:rsidRDefault="00144150" w:rsidP="00144150">
      <w:pPr>
        <w:pStyle w:val="NormalWeb"/>
        <w:spacing w:before="0" w:beforeAutospacing="0" w:after="0" w:afterAutospacing="0" w:line="360" w:lineRule="auto"/>
        <w:jc w:val="both"/>
        <w:rPr>
          <w:rFonts w:asciiTheme="minorHAnsi" w:hAnsiTheme="minorHAnsi" w:cs="Arial"/>
          <w:sz w:val="24"/>
          <w:szCs w:val="24"/>
        </w:rPr>
      </w:pPr>
    </w:p>
    <w:p w14:paraId="136F6798" w14:textId="77777777" w:rsidR="00144150" w:rsidRDefault="00144150" w:rsidP="006F2E74">
      <w:pPr>
        <w:pStyle w:val="Default"/>
        <w:spacing w:line="360" w:lineRule="auto"/>
        <w:jc w:val="both"/>
        <w:rPr>
          <w:rFonts w:asciiTheme="minorHAnsi" w:hAnsiTheme="minorHAnsi"/>
        </w:rPr>
      </w:pPr>
    </w:p>
    <w:p w14:paraId="6E1F7158" w14:textId="5BCF87CF" w:rsidR="006F2E74" w:rsidRDefault="006F2E74" w:rsidP="007D5D5C">
      <w:pPr>
        <w:widowControl w:val="0"/>
        <w:tabs>
          <w:tab w:val="left" w:pos="220"/>
          <w:tab w:val="left" w:pos="720"/>
        </w:tabs>
        <w:autoSpaceDE w:val="0"/>
        <w:autoSpaceDN w:val="0"/>
        <w:adjustRightInd w:val="0"/>
        <w:spacing w:after="0" w:line="360" w:lineRule="auto"/>
        <w:rPr>
          <w:rFonts w:cs="Times"/>
          <w:i/>
          <w:color w:val="0B0B0B"/>
          <w:szCs w:val="24"/>
          <w:u w:val="single"/>
        </w:rPr>
      </w:pPr>
    </w:p>
    <w:p w14:paraId="7F229011" w14:textId="17C3B08A" w:rsidR="000E7915" w:rsidRDefault="000E7915" w:rsidP="00537D7B">
      <w:pPr>
        <w:pStyle w:val="NormalWeb"/>
        <w:spacing w:line="360" w:lineRule="auto"/>
        <w:jc w:val="both"/>
        <w:rPr>
          <w:rFonts w:asciiTheme="minorHAnsi" w:hAnsiTheme="minorHAnsi" w:cs="Arial"/>
          <w:color w:val="FF0000"/>
          <w:sz w:val="24"/>
          <w:szCs w:val="24"/>
        </w:rPr>
      </w:pPr>
    </w:p>
    <w:p w14:paraId="0DFE69DE" w14:textId="77777777" w:rsidR="007D5D5C" w:rsidRDefault="007D5D5C" w:rsidP="007D5D5C">
      <w:pPr>
        <w:widowControl w:val="0"/>
        <w:tabs>
          <w:tab w:val="left" w:pos="220"/>
          <w:tab w:val="left" w:pos="720"/>
        </w:tabs>
        <w:autoSpaceDE w:val="0"/>
        <w:autoSpaceDN w:val="0"/>
        <w:adjustRightInd w:val="0"/>
        <w:spacing w:after="0" w:line="360" w:lineRule="auto"/>
        <w:rPr>
          <w:rFonts w:cs="Times"/>
          <w:i/>
          <w:color w:val="0B0B0B"/>
          <w:szCs w:val="24"/>
        </w:rPr>
      </w:pPr>
    </w:p>
    <w:p w14:paraId="5D14760E" w14:textId="77777777" w:rsidR="007D5D5C" w:rsidRDefault="007D5D5C" w:rsidP="007D5D5C">
      <w:pPr>
        <w:widowControl w:val="0"/>
        <w:autoSpaceDE w:val="0"/>
        <w:autoSpaceDN w:val="0"/>
        <w:adjustRightInd w:val="0"/>
        <w:spacing w:after="0" w:line="360" w:lineRule="auto"/>
        <w:rPr>
          <w:rFonts w:cs="Arial"/>
          <w:bCs/>
          <w:i/>
          <w:iCs/>
          <w:color w:val="000000"/>
          <w:szCs w:val="24"/>
        </w:rPr>
      </w:pPr>
    </w:p>
    <w:p w14:paraId="7501D7BE" w14:textId="77777777" w:rsidR="007D5D5C" w:rsidRPr="00E00344" w:rsidRDefault="007D5D5C" w:rsidP="007D5D5C">
      <w:pPr>
        <w:pStyle w:val="Default"/>
        <w:rPr>
          <w:sz w:val="23"/>
          <w:szCs w:val="23"/>
        </w:rPr>
      </w:pPr>
    </w:p>
    <w:p w14:paraId="62BE7A00" w14:textId="77777777" w:rsidR="007D5D5C" w:rsidRPr="00AC3E7F" w:rsidRDefault="007D5D5C" w:rsidP="007D5D5C">
      <w:pPr>
        <w:widowControl w:val="0"/>
        <w:autoSpaceDE w:val="0"/>
        <w:autoSpaceDN w:val="0"/>
        <w:adjustRightInd w:val="0"/>
        <w:spacing w:after="0" w:line="360" w:lineRule="auto"/>
        <w:jc w:val="both"/>
        <w:rPr>
          <w:rFonts w:cs="Arial"/>
          <w:b/>
          <w:color w:val="000000"/>
          <w:szCs w:val="24"/>
        </w:rPr>
      </w:pPr>
      <w:r>
        <w:rPr>
          <w:rFonts w:cs="Times"/>
          <w:color w:val="0B0B0B"/>
          <w:szCs w:val="24"/>
        </w:rPr>
        <w:t xml:space="preserve"> </w:t>
      </w:r>
    </w:p>
    <w:p w14:paraId="405B3415" w14:textId="77777777" w:rsidR="007D5D5C" w:rsidRDefault="007D5D5C" w:rsidP="007D5D5C">
      <w:pPr>
        <w:pStyle w:val="Default"/>
        <w:spacing w:line="360" w:lineRule="auto"/>
        <w:jc w:val="both"/>
        <w:rPr>
          <w:rFonts w:asciiTheme="minorHAnsi" w:hAnsiTheme="minorHAnsi"/>
        </w:rPr>
      </w:pPr>
      <w:r>
        <w:rPr>
          <w:rFonts w:asciiTheme="minorHAnsi" w:hAnsiTheme="minorHAnsi"/>
        </w:rPr>
        <w:t xml:space="preserve"> </w:t>
      </w:r>
    </w:p>
    <w:p w14:paraId="05E9DA8E" w14:textId="77777777" w:rsidR="007D5D5C" w:rsidRPr="00A34FE4" w:rsidRDefault="007D5D5C" w:rsidP="007D5D5C">
      <w:pPr>
        <w:pStyle w:val="ListParagraph"/>
        <w:rPr>
          <w:color w:val="FF0000"/>
        </w:rPr>
      </w:pPr>
    </w:p>
    <w:p w14:paraId="777233A7" w14:textId="77777777" w:rsidR="007D5D5C" w:rsidRDefault="007D5D5C" w:rsidP="007D5D5C">
      <w:pPr>
        <w:pStyle w:val="Default"/>
        <w:rPr>
          <w:rFonts w:asciiTheme="minorHAnsi" w:hAnsiTheme="minorHAnsi" w:cstheme="minorBidi"/>
          <w:color w:val="auto"/>
        </w:rPr>
      </w:pPr>
    </w:p>
    <w:p w14:paraId="7334851A" w14:textId="77777777" w:rsidR="007D5D5C" w:rsidRDefault="007D5D5C" w:rsidP="007D5D5C">
      <w:pPr>
        <w:pStyle w:val="Default"/>
        <w:spacing w:line="360" w:lineRule="auto"/>
        <w:jc w:val="both"/>
        <w:rPr>
          <w:rFonts w:asciiTheme="minorHAnsi" w:hAnsiTheme="minorHAnsi"/>
          <w:bCs/>
        </w:rPr>
      </w:pPr>
    </w:p>
    <w:p w14:paraId="40E324F7" w14:textId="77777777" w:rsidR="007D5D5C" w:rsidRDefault="007D5D5C" w:rsidP="007D5D5C">
      <w:pPr>
        <w:pStyle w:val="Default"/>
        <w:spacing w:line="360" w:lineRule="auto"/>
        <w:jc w:val="both"/>
        <w:rPr>
          <w:rFonts w:asciiTheme="minorHAnsi" w:hAnsiTheme="minorHAnsi"/>
          <w:bCs/>
        </w:rPr>
      </w:pPr>
      <w:r>
        <w:rPr>
          <w:rFonts w:asciiTheme="minorHAnsi" w:hAnsiTheme="minorHAnsi"/>
          <w:bCs/>
        </w:rPr>
        <w:t xml:space="preserve"> </w:t>
      </w:r>
    </w:p>
    <w:p w14:paraId="650DEE92" w14:textId="77777777" w:rsidR="007D5D5C" w:rsidRPr="00703C5C" w:rsidRDefault="007D5D5C" w:rsidP="007D5D5C">
      <w:pPr>
        <w:pStyle w:val="Default"/>
        <w:spacing w:line="360" w:lineRule="auto"/>
        <w:jc w:val="both"/>
        <w:rPr>
          <w:rFonts w:asciiTheme="minorHAnsi" w:hAnsiTheme="minorHAnsi"/>
          <w:bCs/>
        </w:rPr>
      </w:pPr>
    </w:p>
    <w:p w14:paraId="628644E2" w14:textId="77777777" w:rsidR="007D5D5C" w:rsidRDefault="007D5D5C" w:rsidP="007D5D5C">
      <w:r>
        <w:t xml:space="preserve"> </w:t>
      </w:r>
    </w:p>
    <w:p w14:paraId="540D76E1" w14:textId="77777777" w:rsidR="007D5D5C" w:rsidRDefault="007D5D5C" w:rsidP="007D5D5C">
      <w:pPr>
        <w:rPr>
          <w:rFonts w:cs="Arial"/>
          <w:bCs/>
          <w:color w:val="000000"/>
          <w:szCs w:val="24"/>
        </w:rPr>
      </w:pPr>
      <w:r>
        <w:rPr>
          <w:bCs/>
        </w:rPr>
        <w:br w:type="page"/>
      </w:r>
    </w:p>
    <w:p w14:paraId="23967B58" w14:textId="77777777" w:rsidR="007D5D5C" w:rsidRPr="00703C5C" w:rsidRDefault="007D5D5C" w:rsidP="007D5D5C">
      <w:pPr>
        <w:pStyle w:val="Default"/>
        <w:spacing w:line="360" w:lineRule="auto"/>
        <w:jc w:val="both"/>
        <w:rPr>
          <w:rFonts w:asciiTheme="minorHAnsi" w:hAnsiTheme="minorHAnsi"/>
          <w:bCs/>
        </w:rPr>
      </w:pPr>
    </w:p>
    <w:p w14:paraId="5F069E22" w14:textId="77777777" w:rsidR="007D5D5C" w:rsidRPr="00703C5C" w:rsidRDefault="007D5D5C" w:rsidP="007D5D5C">
      <w:pPr>
        <w:spacing w:line="360" w:lineRule="auto"/>
        <w:jc w:val="both"/>
        <w:rPr>
          <w:bCs/>
          <w:szCs w:val="24"/>
        </w:rPr>
      </w:pPr>
    </w:p>
    <w:p w14:paraId="1BED5CEA" w14:textId="77777777" w:rsidR="007D5D5C" w:rsidRPr="00703C5C" w:rsidRDefault="007D5D5C" w:rsidP="007D5D5C">
      <w:pPr>
        <w:spacing w:line="360" w:lineRule="auto"/>
        <w:rPr>
          <w:b/>
          <w:bCs/>
          <w:szCs w:val="24"/>
        </w:rPr>
      </w:pPr>
      <w:r>
        <w:rPr>
          <w:b/>
          <w:bCs/>
          <w:szCs w:val="24"/>
        </w:rPr>
        <w:t xml:space="preserve"> </w:t>
      </w:r>
    </w:p>
    <w:p w14:paraId="7C123952" w14:textId="77777777" w:rsidR="007D5D5C" w:rsidRPr="00703C5C" w:rsidRDefault="007D5D5C" w:rsidP="007D5D5C">
      <w:pPr>
        <w:spacing w:line="360" w:lineRule="auto"/>
        <w:jc w:val="both"/>
        <w:rPr>
          <w:szCs w:val="24"/>
        </w:rPr>
      </w:pPr>
    </w:p>
    <w:p w14:paraId="622E0775" w14:textId="77777777" w:rsidR="004E7C75" w:rsidRDefault="004E7C75"/>
    <w:sectPr w:rsidR="004E7C75" w:rsidSect="004E7C7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FB1695" w14:textId="77777777" w:rsidR="00F071FF" w:rsidRDefault="00F071FF" w:rsidP="007D5D5C">
      <w:pPr>
        <w:spacing w:after="0"/>
      </w:pPr>
      <w:r>
        <w:separator/>
      </w:r>
    </w:p>
  </w:endnote>
  <w:endnote w:type="continuationSeparator" w:id="0">
    <w:p w14:paraId="6851CE8D" w14:textId="77777777" w:rsidR="00F071FF" w:rsidRDefault="00F071FF" w:rsidP="007D5D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E0F956" w14:textId="77777777" w:rsidR="00F071FF" w:rsidRDefault="00F071FF" w:rsidP="007D5D5C">
      <w:pPr>
        <w:spacing w:after="0"/>
      </w:pPr>
      <w:r>
        <w:separator/>
      </w:r>
    </w:p>
  </w:footnote>
  <w:footnote w:type="continuationSeparator" w:id="0">
    <w:p w14:paraId="38530D79" w14:textId="77777777" w:rsidR="00F071FF" w:rsidRDefault="00F071FF" w:rsidP="007D5D5C">
      <w:pPr>
        <w:spacing w:after="0"/>
      </w:pPr>
      <w:r>
        <w:continuationSeparator/>
      </w:r>
    </w:p>
  </w:footnote>
  <w:footnote w:id="1">
    <w:p w14:paraId="110644B7" w14:textId="77777777" w:rsidR="00F071FF" w:rsidRPr="009D4E29" w:rsidRDefault="00F071FF" w:rsidP="007D5D5C">
      <w:pPr>
        <w:pStyle w:val="FootnoteText"/>
      </w:pPr>
      <w:r w:rsidRPr="009D4E29">
        <w:rPr>
          <w:rStyle w:val="FootnoteReference"/>
        </w:rPr>
        <w:footnoteRef/>
      </w:r>
      <w:r w:rsidRPr="009D4E29">
        <w:t xml:space="preserve"> https://www.gov.uk/government/uploads/system/uploads/attachment_data/file/474227/BIS-15-623-fulfilling-our-potential-teaching-excellence-social-mobility-and-student-choice.pdf</w:t>
      </w:r>
    </w:p>
  </w:footnote>
  <w:footnote w:id="2">
    <w:p w14:paraId="3886CCEA" w14:textId="77777777" w:rsidR="00F071FF" w:rsidRDefault="00F071FF" w:rsidP="007D5D5C">
      <w:pPr>
        <w:pStyle w:val="FootnoteText"/>
      </w:pPr>
      <w:r>
        <w:rPr>
          <w:rStyle w:val="FootnoteReference"/>
        </w:rPr>
        <w:footnoteRef/>
      </w:r>
      <w:r>
        <w:t xml:space="preserve"> </w:t>
      </w:r>
      <w:r w:rsidRPr="002A507D">
        <w:t>http://www.hefce.ac.uk/media/hefce/content/news/News/2012/Consult,response/VC_DW_letter_june2012.pdf</w:t>
      </w:r>
      <w:r>
        <w:t>.</w:t>
      </w:r>
    </w:p>
  </w:footnote>
  <w:footnote w:id="3">
    <w:p w14:paraId="266FFBD6" w14:textId="77777777" w:rsidR="00F071FF" w:rsidRPr="009D4E29" w:rsidRDefault="00F071FF" w:rsidP="007D5D5C">
      <w:pPr>
        <w:pStyle w:val="FootnoteText"/>
      </w:pPr>
      <w:r w:rsidRPr="009D4E29">
        <w:rPr>
          <w:rStyle w:val="FootnoteReference"/>
        </w:rPr>
        <w:footnoteRef/>
      </w:r>
      <w:r w:rsidRPr="009D4E29">
        <w:t xml:space="preserve"> https://www.gov.uk/government/uploads/system/uploads/attachment_data/file/474227/BIS-15-623-fulfilling-our-potential-teaching-excellence-social-mobility-and-student-choice.pdf</w:t>
      </w:r>
    </w:p>
  </w:footnote>
  <w:footnote w:id="4">
    <w:p w14:paraId="311CF784" w14:textId="77777777" w:rsidR="00F071FF" w:rsidRPr="009D4E29" w:rsidRDefault="00F071FF" w:rsidP="007D5D5C">
      <w:pPr>
        <w:pStyle w:val="FootnoteText"/>
      </w:pPr>
      <w:r w:rsidRPr="009D4E29">
        <w:rPr>
          <w:rStyle w:val="FootnoteReference"/>
        </w:rPr>
        <w:footnoteRef/>
      </w:r>
      <w:r w:rsidRPr="009D4E29">
        <w:t xml:space="preserve"> https://www.gov.uk/government/uploads/system/uploads/attachment_data/file/31384/11-944-higher-education-students-at-heart-of-system.pdf</w:t>
      </w:r>
    </w:p>
  </w:footnote>
  <w:footnote w:id="5">
    <w:p w14:paraId="3F505453" w14:textId="77777777" w:rsidR="00F071FF" w:rsidRDefault="00F071FF" w:rsidP="007D5D5C">
      <w:pPr>
        <w:pStyle w:val="FootnoteText"/>
      </w:pPr>
      <w:r>
        <w:rPr>
          <w:rStyle w:val="FootnoteReference"/>
        </w:rPr>
        <w:footnoteRef/>
      </w:r>
      <w:r>
        <w:t xml:space="preserve"> </w:t>
      </w:r>
      <w:r w:rsidRPr="0067662A">
        <w:t>https://www.gov.uk/government/consultations/bis-technical-consultation-uo-a-new-fit-for-purpose-regulatory-framework-for-the-higher-education-sector</w:t>
      </w:r>
      <w:r>
        <w:t>.</w:t>
      </w:r>
    </w:p>
  </w:footnote>
  <w:footnote w:id="6">
    <w:p w14:paraId="07BFD809" w14:textId="77777777" w:rsidR="00F071FF" w:rsidRDefault="00F071FF" w:rsidP="007D5D5C">
      <w:pPr>
        <w:pStyle w:val="FootnoteText"/>
      </w:pPr>
      <w:r>
        <w:rPr>
          <w:rStyle w:val="FootnoteReference"/>
        </w:rPr>
        <w:footnoteRef/>
      </w:r>
      <w:r>
        <w:t xml:space="preserve"> </w:t>
      </w:r>
      <w:r w:rsidRPr="007B12ED">
        <w:t>https://www.gov.uk/government/uploads/system/uploads/attachment_data/file/197258/12-890-government-response-students-and-regulatory-framework-higher-education.pdf</w:t>
      </w:r>
      <w:r>
        <w:t>.</w:t>
      </w:r>
    </w:p>
  </w:footnote>
  <w:footnote w:id="7">
    <w:p w14:paraId="65CF899D" w14:textId="77777777" w:rsidR="00F071FF" w:rsidRPr="00FB54D8" w:rsidRDefault="00F071FF" w:rsidP="007D5D5C">
      <w:pPr>
        <w:pStyle w:val="NormalWeb"/>
        <w:rPr>
          <w:rFonts w:asciiTheme="minorHAnsi" w:hAnsiTheme="minorHAnsi"/>
          <w:sz w:val="24"/>
          <w:szCs w:val="24"/>
        </w:rPr>
      </w:pPr>
      <w:r w:rsidRPr="009D4E29">
        <w:rPr>
          <w:rStyle w:val="FootnoteReference"/>
          <w:rFonts w:asciiTheme="minorHAnsi" w:hAnsiTheme="minorHAnsi"/>
          <w:sz w:val="24"/>
          <w:szCs w:val="24"/>
        </w:rPr>
        <w:footnoteRef/>
      </w:r>
      <w:r w:rsidRPr="009D4E29">
        <w:rPr>
          <w:rFonts w:asciiTheme="minorHAnsi" w:hAnsiTheme="minorHAnsi"/>
          <w:sz w:val="24"/>
          <w:szCs w:val="24"/>
        </w:rPr>
        <w:t xml:space="preserve"> Professor Graham Gibbs (2010), </w:t>
      </w:r>
      <w:r w:rsidRPr="009D4E29">
        <w:rPr>
          <w:rFonts w:asciiTheme="minorHAnsi" w:hAnsiTheme="minorHAnsi"/>
          <w:i/>
          <w:iCs/>
          <w:sz w:val="24"/>
          <w:szCs w:val="24"/>
        </w:rPr>
        <w:t>Dimensions of quality</w:t>
      </w:r>
      <w:r w:rsidRPr="009D4E29">
        <w:rPr>
          <w:rFonts w:asciiTheme="minorHAnsi" w:hAnsiTheme="minorHAnsi"/>
          <w:sz w:val="24"/>
          <w:szCs w:val="24"/>
        </w:rPr>
        <w:t xml:space="preserve">. </w:t>
      </w:r>
    </w:p>
  </w:footnote>
  <w:footnote w:id="8">
    <w:p w14:paraId="65DF3CA7" w14:textId="77777777" w:rsidR="00F071FF" w:rsidRDefault="00F071FF" w:rsidP="007D5D5C">
      <w:pPr>
        <w:pStyle w:val="FootnoteText"/>
      </w:pPr>
      <w:r>
        <w:rPr>
          <w:rStyle w:val="FootnoteReference"/>
        </w:rPr>
        <w:footnoteRef/>
      </w:r>
      <w:r>
        <w:t xml:space="preserve"> </w:t>
      </w:r>
      <w:r w:rsidRPr="005324A8">
        <w:t>https://www.gov.uk/cma-cases/consumer-protection-review-of-higher-education</w:t>
      </w:r>
      <w:r>
        <w:t>.</w:t>
      </w:r>
    </w:p>
  </w:footnote>
  <w:footnote w:id="9">
    <w:p w14:paraId="4026ACBB" w14:textId="77777777" w:rsidR="00F071FF" w:rsidRDefault="00F071FF" w:rsidP="007D5D5C">
      <w:pPr>
        <w:pStyle w:val="FootnoteText"/>
      </w:pPr>
      <w:r>
        <w:rPr>
          <w:rStyle w:val="FootnoteReference"/>
        </w:rPr>
        <w:footnoteRef/>
      </w:r>
      <w:r>
        <w:t xml:space="preserve"> </w:t>
      </w:r>
      <w:r w:rsidRPr="005B3518">
        <w:t>https://www.gov.uk/government/uploads/system/uploads/attachment_data/file/61218/education-advocate-report.pdf</w:t>
      </w:r>
      <w:r>
        <w:t>.</w:t>
      </w:r>
    </w:p>
  </w:footnote>
  <w:footnote w:id="10">
    <w:p w14:paraId="14085B06" w14:textId="44522C00" w:rsidR="00F071FF" w:rsidRDefault="00F071FF">
      <w:pPr>
        <w:pStyle w:val="FootnoteText"/>
      </w:pPr>
      <w:r>
        <w:rPr>
          <w:rStyle w:val="FootnoteReference"/>
        </w:rPr>
        <w:footnoteRef/>
      </w:r>
      <w:r>
        <w:t xml:space="preserve"> </w:t>
      </w:r>
      <w:r w:rsidRPr="009D5840">
        <w:t>http://www.qaa.ac.uk/assuring-standards-and-qual</w:t>
      </w:r>
      <w:r>
        <w:t>ity/daput/guidance-and-criteria.</w:t>
      </w:r>
    </w:p>
  </w:footnote>
  <w:footnote w:id="11">
    <w:p w14:paraId="26BD6883" w14:textId="77777777" w:rsidR="00F071FF" w:rsidRPr="009D4E29" w:rsidRDefault="00F071FF" w:rsidP="007D5D5C">
      <w:pPr>
        <w:pStyle w:val="FootnoteText"/>
      </w:pPr>
      <w:r w:rsidRPr="009D4E29">
        <w:rPr>
          <w:rStyle w:val="FootnoteReference"/>
        </w:rPr>
        <w:footnoteRef/>
      </w:r>
      <w:r w:rsidRPr="009D4E29">
        <w:t xml:space="preserve"> https://www.gov.uk/government/uploads/system/uploads/attachment_data/file/32450/11-1387-innovation-and-research-strategy-for-growth.pdf.</w:t>
      </w:r>
    </w:p>
  </w:footnote>
  <w:footnote w:id="12">
    <w:p w14:paraId="4B5F369E" w14:textId="77777777" w:rsidR="00F071FF" w:rsidRPr="009D4E29" w:rsidRDefault="00F071FF" w:rsidP="007D5D5C">
      <w:pPr>
        <w:pStyle w:val="FootnoteText"/>
      </w:pPr>
      <w:r w:rsidRPr="009D4E29">
        <w:rPr>
          <w:rStyle w:val="FootnoteReference"/>
        </w:rPr>
        <w:footnoteRef/>
      </w:r>
      <w:r w:rsidRPr="009D4E29">
        <w:t xml:space="preserve"> https://www.gov.uk/government/uploads/system/uploads/attachment_data/file/478125/BIS-15-625-ensuring-a-successful-UK-research-endeavour.pdf.</w:t>
      </w:r>
    </w:p>
  </w:footnote>
  <w:footnote w:id="13">
    <w:p w14:paraId="5167702A" w14:textId="77777777" w:rsidR="00F071FF" w:rsidRDefault="00F071FF" w:rsidP="00F42FF2">
      <w:pPr>
        <w:pStyle w:val="FootnoteText"/>
      </w:pPr>
      <w:r>
        <w:rPr>
          <w:rStyle w:val="FootnoteReference"/>
        </w:rPr>
        <w:footnoteRef/>
      </w:r>
      <w:r>
        <w:t xml:space="preserve"> </w:t>
      </w:r>
      <w:r w:rsidRPr="002A507D">
        <w:t>http://www.hefce.ac.uk/media/hefce/content/news/News/2012/Consult,response/VC_DW_letter_june2012.pdf</w:t>
      </w:r>
      <w:r>
        <w:t>.</w:t>
      </w:r>
    </w:p>
  </w:footnote>
  <w:footnote w:id="14">
    <w:p w14:paraId="3D0BD101" w14:textId="629CF6A6" w:rsidR="00F071FF" w:rsidRDefault="00F071FF">
      <w:pPr>
        <w:pStyle w:val="FootnoteText"/>
      </w:pPr>
      <w:r>
        <w:rPr>
          <w:rStyle w:val="FootnoteReference"/>
        </w:rPr>
        <w:footnoteRef/>
      </w:r>
      <w:r>
        <w:t xml:space="preserve"> </w:t>
      </w:r>
      <w:r w:rsidRPr="00C262EA">
        <w:t>http://www.kingstoncitygroup.co.uk/includes/docs/why_kcg/Operating%20Framework%20in%20HE.pdf</w:t>
      </w:r>
      <w:r>
        <w:t>.</w:t>
      </w:r>
    </w:p>
  </w:footnote>
  <w:footnote w:id="15">
    <w:p w14:paraId="2471F8F1" w14:textId="77777777" w:rsidR="00F071FF" w:rsidRDefault="00F071FF" w:rsidP="007D5D5C">
      <w:pPr>
        <w:pStyle w:val="FootnoteText"/>
      </w:pPr>
      <w:r>
        <w:rPr>
          <w:rStyle w:val="FootnoteReference"/>
        </w:rPr>
        <w:footnoteRef/>
      </w:r>
      <w:r>
        <w:t xml:space="preserve"> </w:t>
      </w:r>
      <w:r w:rsidRPr="00E41815">
        <w:t>http://www.hefce.ac.uk/reg/of/</w:t>
      </w:r>
      <w:r>
        <w:t>.</w:t>
      </w:r>
    </w:p>
  </w:footnote>
  <w:footnote w:id="16">
    <w:p w14:paraId="4367EA13" w14:textId="77777777" w:rsidR="00F071FF" w:rsidRDefault="00F071FF" w:rsidP="007D5D5C">
      <w:pPr>
        <w:pStyle w:val="FootnoteText"/>
      </w:pPr>
      <w:r>
        <w:rPr>
          <w:rStyle w:val="FootnoteReference"/>
        </w:rPr>
        <w:footnoteRef/>
      </w:r>
      <w:r>
        <w:t xml:space="preserve">  </w:t>
      </w:r>
      <w:r w:rsidRPr="00E41815">
        <w:t>http://www.hefce.ac.uk/reg/register/</w:t>
      </w:r>
    </w:p>
  </w:footnote>
  <w:footnote w:id="17">
    <w:p w14:paraId="048BC168" w14:textId="77777777" w:rsidR="00F071FF" w:rsidRDefault="00F071FF" w:rsidP="007D5D5C">
      <w:pPr>
        <w:pStyle w:val="FootnoteText"/>
      </w:pPr>
      <w:r>
        <w:rPr>
          <w:rStyle w:val="FootnoteReference"/>
        </w:rPr>
        <w:footnoteRef/>
      </w:r>
      <w:r>
        <w:t xml:space="preserve"> </w:t>
      </w:r>
      <w:r w:rsidRPr="00E32162">
        <w:t>http://www.hefce.ac.uk/reg/</w:t>
      </w:r>
    </w:p>
  </w:footnote>
  <w:footnote w:id="18">
    <w:p w14:paraId="008778D8" w14:textId="77777777" w:rsidR="00F071FF" w:rsidRDefault="00F071FF" w:rsidP="007D5D5C">
      <w:pPr>
        <w:pStyle w:val="FootnoteText"/>
      </w:pPr>
      <w:r>
        <w:rPr>
          <w:rStyle w:val="FootnoteReference"/>
        </w:rPr>
        <w:footnoteRef/>
      </w:r>
      <w:r>
        <w:t xml:space="preserve"> </w:t>
      </w:r>
      <w:r w:rsidRPr="00E41815">
        <w:t>http://www.hefce.ac.uk/media/HEFCE,2014/Content/About,HEFCE/RPG/RPG,7,October/Agenda%20RPG%207%20October%202015.pdf</w:t>
      </w:r>
      <w:r>
        <w:t>.</w:t>
      </w:r>
    </w:p>
  </w:footnote>
  <w:footnote w:id="19">
    <w:p w14:paraId="6833A393" w14:textId="77777777" w:rsidR="00F071FF" w:rsidRDefault="00F071FF" w:rsidP="007D5D5C">
      <w:pPr>
        <w:pStyle w:val="FootnoteText"/>
      </w:pPr>
      <w:r>
        <w:rPr>
          <w:rStyle w:val="FootnoteReference"/>
        </w:rPr>
        <w:footnoteRef/>
      </w:r>
      <w:r>
        <w:t xml:space="preserve"> </w:t>
      </w:r>
      <w:r w:rsidRPr="00567606">
        <w:t>http://www.hefce.ac.uk/news/newsarchive/2015/Name,104412,en.html</w:t>
      </w:r>
      <w:r>
        <w:t>.</w:t>
      </w:r>
    </w:p>
  </w:footnote>
  <w:footnote w:id="20">
    <w:p w14:paraId="20172595" w14:textId="77777777" w:rsidR="00F071FF" w:rsidRDefault="00F071FF" w:rsidP="007D5D5C">
      <w:pPr>
        <w:pStyle w:val="FootnoteText"/>
      </w:pPr>
      <w:r>
        <w:rPr>
          <w:rStyle w:val="FootnoteReference"/>
        </w:rPr>
        <w:footnoteRef/>
      </w:r>
      <w:r>
        <w:t xml:space="preserve"> </w:t>
      </w:r>
      <w:r w:rsidRPr="00707928">
        <w:t>https://www.gov.uk/government/publications/nurse-review-of-research-councils-recommendations</w:t>
      </w:r>
      <w:r>
        <w:t>.</w:t>
      </w:r>
    </w:p>
  </w:footnote>
  <w:footnote w:id="21">
    <w:p w14:paraId="330988A4" w14:textId="77777777" w:rsidR="00F071FF" w:rsidRPr="009D4E29" w:rsidRDefault="00F071FF" w:rsidP="007D5D5C">
      <w:pPr>
        <w:pStyle w:val="FootnoteText"/>
      </w:pPr>
      <w:r w:rsidRPr="009D4E29">
        <w:rPr>
          <w:rStyle w:val="FootnoteReference"/>
        </w:rPr>
        <w:footnoteRef/>
      </w:r>
      <w:r w:rsidRPr="009D4E29">
        <w:t xml:space="preserve"> http://www.hefce.ac.uk/reg/register/</w:t>
      </w:r>
    </w:p>
  </w:footnote>
  <w:footnote w:id="22">
    <w:p w14:paraId="382E47A4" w14:textId="77777777" w:rsidR="00F071FF" w:rsidRDefault="00F071FF" w:rsidP="00F77E2B">
      <w:pPr>
        <w:pStyle w:val="FootnoteText"/>
      </w:pPr>
      <w:r>
        <w:rPr>
          <w:rStyle w:val="FootnoteReference"/>
        </w:rPr>
        <w:footnoteRef/>
      </w:r>
      <w:r>
        <w:t xml:space="preserve"> </w:t>
      </w:r>
      <w:r w:rsidRPr="005F650F">
        <w:t>https://www.gov.uk/government/uploads/system/uploads/attachment_data/file/80075/Categories_of_public_bodies_Dec12.pdf</w:t>
      </w:r>
      <w:r>
        <w:t>.</w:t>
      </w:r>
    </w:p>
  </w:footnote>
  <w:footnote w:id="23">
    <w:p w14:paraId="627F2336" w14:textId="77777777" w:rsidR="00F071FF" w:rsidRDefault="00F071FF" w:rsidP="00F77E2B">
      <w:pPr>
        <w:pStyle w:val="FootnoteText"/>
      </w:pPr>
      <w:r>
        <w:rPr>
          <w:rStyle w:val="FootnoteReference"/>
        </w:rPr>
        <w:footnoteRef/>
      </w:r>
      <w:r>
        <w:t xml:space="preserve"> </w:t>
      </w:r>
      <w:r w:rsidRPr="00AC0360">
        <w:t>https://www.gov.uk/government/uploads/system/uploads/attachment_data/file/80080/PublicBodiesGuide2006_3_setting_upv2_0.pdf</w:t>
      </w:r>
    </w:p>
  </w:footnote>
  <w:footnote w:id="24">
    <w:p w14:paraId="6171A82E" w14:textId="77777777" w:rsidR="00F071FF" w:rsidRDefault="00F071FF" w:rsidP="00F77E2B">
      <w:pPr>
        <w:pStyle w:val="FootnoteText"/>
      </w:pPr>
      <w:r>
        <w:rPr>
          <w:rStyle w:val="FootnoteReference"/>
        </w:rPr>
        <w:footnoteRef/>
      </w:r>
      <w:r>
        <w:t xml:space="preserve"> </w:t>
      </w:r>
      <w:r w:rsidRPr="00C262EA">
        <w:t>https://www.gov.uk/government/uploads/system/uploads/attachment_data/file/80080/PublicBodiesGuide2006_3_setting_upv2_0.pdf</w:t>
      </w:r>
      <w:r>
        <w:t>.</w:t>
      </w:r>
    </w:p>
  </w:footnote>
  <w:footnote w:id="25">
    <w:p w14:paraId="604DD396" w14:textId="77777777" w:rsidR="00F071FF" w:rsidRDefault="00F071FF" w:rsidP="00F77E2B">
      <w:pPr>
        <w:pStyle w:val="FootnoteText"/>
      </w:pPr>
      <w:r>
        <w:rPr>
          <w:rStyle w:val="FootnoteReference"/>
        </w:rPr>
        <w:footnoteRef/>
      </w:r>
      <w:r>
        <w:t xml:space="preserve"> </w:t>
      </w:r>
      <w:r w:rsidRPr="00C262EA">
        <w:t>https://www.gov.uk/government/uploads/system/uploads/attachment_data/file/80075/Categories_of_public_bodies_Dec12.pdf</w:t>
      </w:r>
    </w:p>
  </w:footnote>
  <w:footnote w:id="26">
    <w:p w14:paraId="4276B724" w14:textId="77777777" w:rsidR="00F071FF" w:rsidRPr="00537D7B" w:rsidRDefault="00F071FF" w:rsidP="00F77E2B">
      <w:pPr>
        <w:widowControl w:val="0"/>
        <w:autoSpaceDE w:val="0"/>
        <w:autoSpaceDN w:val="0"/>
        <w:adjustRightInd w:val="0"/>
        <w:spacing w:after="0" w:line="360" w:lineRule="auto"/>
        <w:jc w:val="both"/>
        <w:rPr>
          <w:rFonts w:cs="Times"/>
          <w:color w:val="202020"/>
          <w:szCs w:val="24"/>
        </w:rPr>
      </w:pPr>
      <w:r>
        <w:rPr>
          <w:rStyle w:val="FootnoteReference"/>
        </w:rPr>
        <w:footnoteRef/>
      </w:r>
      <w:r>
        <w:t xml:space="preserve"> </w:t>
      </w:r>
      <w:r w:rsidRPr="00537D7B">
        <w:rPr>
          <w:rFonts w:cs="Times"/>
          <w:i/>
          <w:color w:val="202020"/>
          <w:szCs w:val="24"/>
        </w:rPr>
        <w:t>Foster v. British Gas</w:t>
      </w:r>
      <w:r w:rsidRPr="00537D7B">
        <w:rPr>
          <w:rFonts w:cs="Times"/>
          <w:color w:val="202020"/>
          <w:szCs w:val="24"/>
        </w:rPr>
        <w:t xml:space="preserve"> [1991] 2 AC 306, [1991] 1 QB 40 </w:t>
      </w:r>
    </w:p>
    <w:p w14:paraId="5F5CC8D4" w14:textId="77777777" w:rsidR="00F071FF" w:rsidRPr="002C3614" w:rsidRDefault="00F071FF" w:rsidP="00F77E2B">
      <w:pPr>
        <w:pStyle w:val="NormalWeb"/>
        <w:jc w:val="both"/>
        <w:rPr>
          <w:rFonts w:asciiTheme="minorHAnsi" w:hAnsiTheme="minorHAnsi"/>
          <w:sz w:val="24"/>
          <w:szCs w:val="24"/>
        </w:rPr>
      </w:pPr>
      <w:r w:rsidRPr="00537D7B">
        <w:rPr>
          <w:rFonts w:asciiTheme="minorHAnsi" w:hAnsiTheme="minorHAnsi" w:cs="Times"/>
          <w:i/>
          <w:sz w:val="24"/>
          <w:szCs w:val="24"/>
        </w:rPr>
        <w:t>Doughty v Rolls Royce Plc</w:t>
      </w:r>
      <w:r w:rsidRPr="00537D7B">
        <w:rPr>
          <w:rFonts w:asciiTheme="minorHAnsi" w:hAnsiTheme="minorHAnsi" w:cs="Times"/>
          <w:sz w:val="24"/>
          <w:szCs w:val="24"/>
        </w:rPr>
        <w:t xml:space="preserve"> [1991] EWCA Civ 15 (19 December 1991)</w:t>
      </w:r>
      <w:r>
        <w:rPr>
          <w:rFonts w:asciiTheme="minorHAnsi" w:hAnsiTheme="minorHAnsi" w:cs="Times"/>
          <w:sz w:val="24"/>
          <w:szCs w:val="24"/>
        </w:rPr>
        <w:t xml:space="preserve">, </w:t>
      </w:r>
      <w:r w:rsidRPr="002C3614">
        <w:rPr>
          <w:rFonts w:asciiTheme="minorHAnsi" w:hAnsiTheme="minorHAnsi"/>
          <w:sz w:val="24"/>
          <w:szCs w:val="24"/>
        </w:rPr>
        <w:t>http://www.bailii.org/ew/cases/EWCA/Civ/1991/15.html</w:t>
      </w:r>
    </w:p>
  </w:footnote>
  <w:footnote w:id="27">
    <w:p w14:paraId="33E6B0FB" w14:textId="77777777" w:rsidR="00F071FF" w:rsidRDefault="00F071FF" w:rsidP="00144150">
      <w:pPr>
        <w:pStyle w:val="FootnoteText"/>
      </w:pPr>
      <w:r>
        <w:rPr>
          <w:rStyle w:val="FootnoteReference"/>
        </w:rPr>
        <w:footnoteRef/>
      </w:r>
      <w:r>
        <w:t xml:space="preserve"> </w:t>
      </w:r>
      <w:r w:rsidRPr="007F5718">
        <w:t>https://www.gov.uk/government/uploads/system/uploads/attachment_data/file/80080/PublicBodiesGuide2006_3_setting_upv2_0.pdf</w:t>
      </w:r>
    </w:p>
  </w:footnote>
  <w:footnote w:id="28">
    <w:p w14:paraId="34205E08" w14:textId="77777777" w:rsidR="00F071FF" w:rsidRDefault="00F071FF" w:rsidP="00144150">
      <w:pPr>
        <w:pStyle w:val="FootnoteText"/>
      </w:pPr>
      <w:r>
        <w:rPr>
          <w:rStyle w:val="FootnoteReference"/>
        </w:rPr>
        <w:footnoteRef/>
      </w:r>
      <w:r>
        <w:t xml:space="preserve"> </w:t>
      </w:r>
      <w:r w:rsidRPr="00BB1294">
        <w:t>https://www.gov.uk/government/uploads/system/uploads/attachment_data/file/31382/11-1114-new-regulatory-framework-for-higher-education-consultation.pdf</w:t>
      </w:r>
      <w:r>
        <w:t>.</w:t>
      </w:r>
    </w:p>
  </w:footnote>
  <w:footnote w:id="29">
    <w:p w14:paraId="58C4325F" w14:textId="77777777" w:rsidR="00F071FF" w:rsidRDefault="00F071FF" w:rsidP="00144150">
      <w:pPr>
        <w:pStyle w:val="FootnoteText"/>
      </w:pPr>
      <w:r>
        <w:rPr>
          <w:rStyle w:val="FootnoteReference"/>
        </w:rPr>
        <w:footnoteRef/>
      </w:r>
      <w:r>
        <w:t xml:space="preserve"> </w:t>
      </w:r>
      <w:r w:rsidRPr="000F041F">
        <w:t>http://www.hefce.ac.uk/pubs/year/2014/cl,152014/</w:t>
      </w:r>
    </w:p>
  </w:footnote>
  <w:footnote w:id="30">
    <w:p w14:paraId="74C4772E" w14:textId="77777777" w:rsidR="00F071FF" w:rsidRDefault="00F071FF" w:rsidP="00164780">
      <w:pPr>
        <w:pStyle w:val="FootnoteText"/>
      </w:pPr>
      <w:r>
        <w:rPr>
          <w:rStyle w:val="FootnoteReference"/>
        </w:rPr>
        <w:footnoteRef/>
      </w:r>
      <w:r>
        <w:t xml:space="preserve"> </w:t>
      </w:r>
      <w:r w:rsidRPr="008167F9">
        <w:t>http://www.qaa.ac.uk/en/ReviewsAndReports/Documents/Tertiary%20Education%20Services%20Ltd%20ta%20New%20College%20of%20the%20Humanities/Tertiary-Education-Services-Ltd-ta-NCH-HER-Plus-15.pdf</w:t>
      </w:r>
      <w:r>
        <w:t>.</w:t>
      </w:r>
    </w:p>
  </w:footnote>
  <w:footnote w:id="31">
    <w:p w14:paraId="2BE4EE4B" w14:textId="77777777" w:rsidR="00F071FF" w:rsidRDefault="00F071FF" w:rsidP="00164780">
      <w:pPr>
        <w:pStyle w:val="FootnoteText"/>
      </w:pPr>
      <w:r>
        <w:rPr>
          <w:rStyle w:val="FootnoteReference"/>
        </w:rPr>
        <w:footnoteRef/>
      </w:r>
      <w:r>
        <w:t xml:space="preserve"> </w:t>
      </w:r>
      <w:r w:rsidRPr="008167F9">
        <w:t>http://www.qaa.ac.uk/en/ReviewsAndReports/Documents/Tertiary%20Education%20Services%20Ltd%20ta%20New%20College%20of%20the%20Humanities/Tertiary-Education-Services-Ltd-ta-NCH-HER-Plus-15.pdf</w:t>
      </w:r>
      <w:r>
        <w:t>.</w:t>
      </w:r>
    </w:p>
  </w:footnote>
  <w:footnote w:id="32">
    <w:p w14:paraId="3B59622D" w14:textId="4BDC6354" w:rsidR="00F071FF" w:rsidRDefault="00F071FF">
      <w:pPr>
        <w:pStyle w:val="FootnoteText"/>
      </w:pPr>
      <w:r>
        <w:rPr>
          <w:rStyle w:val="FootnoteReference"/>
        </w:rPr>
        <w:footnoteRef/>
      </w:r>
      <w:r>
        <w:t xml:space="preserve"> </w:t>
      </w:r>
      <w:r w:rsidRPr="0029003C">
        <w:t>https://www.apollo.edu/learning-platforms/apollo-global/bpp.html</w:t>
      </w:r>
    </w:p>
  </w:footnote>
  <w:footnote w:id="33">
    <w:p w14:paraId="06187E99" w14:textId="0308BEAF" w:rsidR="00F071FF" w:rsidRDefault="00F071FF">
      <w:pPr>
        <w:pStyle w:val="FootnoteText"/>
      </w:pPr>
      <w:r>
        <w:rPr>
          <w:rStyle w:val="FootnoteReference"/>
        </w:rPr>
        <w:footnoteRef/>
      </w:r>
      <w:r>
        <w:t xml:space="preserve"> </w:t>
      </w:r>
      <w:r w:rsidRPr="0029003C">
        <w:t>http://www.bpp.com/bpp-university/about/bpp-university</w:t>
      </w:r>
      <w:r>
        <w:t>.</w:t>
      </w:r>
    </w:p>
  </w:footnote>
  <w:footnote w:id="34">
    <w:p w14:paraId="14E05550" w14:textId="1063323B" w:rsidR="00F071FF" w:rsidRDefault="00F071FF">
      <w:pPr>
        <w:pStyle w:val="FootnoteText"/>
      </w:pPr>
      <w:r>
        <w:rPr>
          <w:rStyle w:val="FootnoteReference"/>
        </w:rPr>
        <w:footnoteRef/>
      </w:r>
      <w:r>
        <w:t xml:space="preserve"> </w:t>
      </w:r>
      <w:r w:rsidRPr="00CB4495">
        <w:t>http://www.qaa.ac.uk/reviews-and-reports</w:t>
      </w:r>
    </w:p>
  </w:footnote>
  <w:footnote w:id="35">
    <w:p w14:paraId="1D3369E9" w14:textId="3296C03D" w:rsidR="00F071FF" w:rsidRDefault="00F071FF">
      <w:pPr>
        <w:pStyle w:val="FootnoteText"/>
      </w:pPr>
      <w:r>
        <w:rPr>
          <w:rStyle w:val="FootnoteReference"/>
        </w:rPr>
        <w:footnoteRef/>
      </w:r>
      <w:r>
        <w:t xml:space="preserve"> </w:t>
      </w:r>
      <w:r w:rsidRPr="00CB4495">
        <w:t>https://s3-eu-west-1.amazonaws.com/bppassets/public/assets/pdf/policies/bpp_university_qaa_actionplan_2014.pdf</w:t>
      </w:r>
      <w:r>
        <w:t>.</w:t>
      </w:r>
    </w:p>
  </w:footnote>
  <w:footnote w:id="36">
    <w:p w14:paraId="6A3424A0" w14:textId="5CED2BA9" w:rsidR="00F071FF" w:rsidRDefault="00F071FF">
      <w:pPr>
        <w:pStyle w:val="FootnoteText"/>
      </w:pPr>
      <w:r>
        <w:rPr>
          <w:rStyle w:val="FootnoteReference"/>
        </w:rPr>
        <w:footnoteRef/>
      </w:r>
      <w:r>
        <w:t xml:space="preserve"> </w:t>
      </w:r>
      <w:hyperlink r:id="rId1" w:history="1">
        <w:r w:rsidRPr="00FD63F4">
          <w:rPr>
            <w:rStyle w:val="Hyperlink"/>
          </w:rPr>
          <w:t>https://www.nao.org.uk/report/investigation-financial-support-students-alternative-higher-education-providers-2/</w:t>
        </w:r>
      </w:hyperlink>
    </w:p>
  </w:footnote>
  <w:footnote w:id="37">
    <w:p w14:paraId="7C50EBA9" w14:textId="31639191" w:rsidR="00F071FF" w:rsidRDefault="00F071FF">
      <w:pPr>
        <w:pStyle w:val="FootnoteText"/>
      </w:pPr>
      <w:r>
        <w:rPr>
          <w:rStyle w:val="FootnoteReference"/>
        </w:rPr>
        <w:footnoteRef/>
      </w:r>
      <w:r>
        <w:t xml:space="preserve"> </w:t>
      </w:r>
      <w:r w:rsidRPr="00F96E28">
        <w:t>http://www.publications.parliament.uk/pa/cm201415/cmselect/cmpubacc/811/81105.htm</w:t>
      </w:r>
      <w: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0C27740"/>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FD3B30"/>
    <w:multiLevelType w:val="multilevel"/>
    <w:tmpl w:val="E38E6CA6"/>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4725B3"/>
    <w:multiLevelType w:val="multilevel"/>
    <w:tmpl w:val="F4B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77185B"/>
    <w:multiLevelType w:val="hybridMultilevel"/>
    <w:tmpl w:val="0C8E1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1944AE"/>
    <w:multiLevelType w:val="hybridMultilevel"/>
    <w:tmpl w:val="1B725F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141351"/>
    <w:multiLevelType w:val="multilevel"/>
    <w:tmpl w:val="80802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4D756DF"/>
    <w:multiLevelType w:val="multilevel"/>
    <w:tmpl w:val="F52C5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5"/>
  </w:num>
  <w:num w:numId="4">
    <w:abstractNumId w:val="6"/>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D5C"/>
    <w:rsid w:val="00012250"/>
    <w:rsid w:val="00035078"/>
    <w:rsid w:val="0004040D"/>
    <w:rsid w:val="00067CBC"/>
    <w:rsid w:val="000A2342"/>
    <w:rsid w:val="000A3154"/>
    <w:rsid w:val="000E7915"/>
    <w:rsid w:val="000F041F"/>
    <w:rsid w:val="00126C1C"/>
    <w:rsid w:val="00144150"/>
    <w:rsid w:val="00164780"/>
    <w:rsid w:val="00175798"/>
    <w:rsid w:val="001E333D"/>
    <w:rsid w:val="001E4743"/>
    <w:rsid w:val="0029003C"/>
    <w:rsid w:val="002C3614"/>
    <w:rsid w:val="00361664"/>
    <w:rsid w:val="003D6397"/>
    <w:rsid w:val="00403AE1"/>
    <w:rsid w:val="00433878"/>
    <w:rsid w:val="004E7C75"/>
    <w:rsid w:val="00537D7B"/>
    <w:rsid w:val="0055540A"/>
    <w:rsid w:val="005C272E"/>
    <w:rsid w:val="005D478A"/>
    <w:rsid w:val="005F650F"/>
    <w:rsid w:val="0060078A"/>
    <w:rsid w:val="006C5EE5"/>
    <w:rsid w:val="006D331C"/>
    <w:rsid w:val="006F2E74"/>
    <w:rsid w:val="0076332F"/>
    <w:rsid w:val="00782B65"/>
    <w:rsid w:val="00791938"/>
    <w:rsid w:val="007D5D5C"/>
    <w:rsid w:val="007F5718"/>
    <w:rsid w:val="008167F9"/>
    <w:rsid w:val="008960CC"/>
    <w:rsid w:val="008B023E"/>
    <w:rsid w:val="008D25FE"/>
    <w:rsid w:val="008F3B2A"/>
    <w:rsid w:val="00983BB4"/>
    <w:rsid w:val="00990CE1"/>
    <w:rsid w:val="009D5840"/>
    <w:rsid w:val="00AC0360"/>
    <w:rsid w:val="00AD4C82"/>
    <w:rsid w:val="00B826F0"/>
    <w:rsid w:val="00B861E3"/>
    <w:rsid w:val="00BB1294"/>
    <w:rsid w:val="00C07B71"/>
    <w:rsid w:val="00C262EA"/>
    <w:rsid w:val="00CB4495"/>
    <w:rsid w:val="00CC1ADF"/>
    <w:rsid w:val="00D33A4C"/>
    <w:rsid w:val="00E06DD9"/>
    <w:rsid w:val="00E17082"/>
    <w:rsid w:val="00E81ED0"/>
    <w:rsid w:val="00EA1FC7"/>
    <w:rsid w:val="00EB13B7"/>
    <w:rsid w:val="00EC2A2D"/>
    <w:rsid w:val="00F071E2"/>
    <w:rsid w:val="00F071FF"/>
    <w:rsid w:val="00F42FF2"/>
    <w:rsid w:val="00F77E2B"/>
    <w:rsid w:val="00F96E28"/>
    <w:rsid w:val="00FF512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2921B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D5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D5D5C"/>
    <w:pPr>
      <w:spacing w:after="0"/>
    </w:pPr>
    <w:rPr>
      <w:szCs w:val="24"/>
    </w:rPr>
  </w:style>
  <w:style w:type="character" w:customStyle="1" w:styleId="FootnoteTextChar">
    <w:name w:val="Footnote Text Char"/>
    <w:basedOn w:val="DefaultParagraphFont"/>
    <w:link w:val="FootnoteText"/>
    <w:uiPriority w:val="99"/>
    <w:rsid w:val="007D5D5C"/>
    <w:rPr>
      <w:sz w:val="24"/>
      <w:szCs w:val="24"/>
    </w:rPr>
  </w:style>
  <w:style w:type="character" w:styleId="FootnoteReference">
    <w:name w:val="footnote reference"/>
    <w:basedOn w:val="DefaultParagraphFont"/>
    <w:uiPriority w:val="99"/>
    <w:unhideWhenUsed/>
    <w:rsid w:val="007D5D5C"/>
    <w:rPr>
      <w:vertAlign w:val="superscript"/>
    </w:rPr>
  </w:style>
  <w:style w:type="paragraph" w:customStyle="1" w:styleId="Default">
    <w:name w:val="Default"/>
    <w:rsid w:val="007D5D5C"/>
    <w:pPr>
      <w:widowControl w:val="0"/>
      <w:autoSpaceDE w:val="0"/>
      <w:autoSpaceDN w:val="0"/>
      <w:adjustRightInd w:val="0"/>
      <w:spacing w:after="0"/>
    </w:pPr>
    <w:rPr>
      <w:rFonts w:ascii="Arial" w:hAnsi="Arial" w:cs="Arial"/>
      <w:color w:val="000000"/>
      <w:sz w:val="24"/>
      <w:szCs w:val="24"/>
    </w:rPr>
  </w:style>
  <w:style w:type="paragraph" w:styleId="ListParagraph">
    <w:name w:val="List Paragraph"/>
    <w:basedOn w:val="Normal"/>
    <w:uiPriority w:val="34"/>
    <w:qFormat/>
    <w:rsid w:val="007D5D5C"/>
    <w:pPr>
      <w:ind w:left="720"/>
      <w:contextualSpacing/>
    </w:pPr>
  </w:style>
  <w:style w:type="paragraph" w:styleId="NormalWeb">
    <w:name w:val="Normal (Web)"/>
    <w:basedOn w:val="Normal"/>
    <w:uiPriority w:val="99"/>
    <w:unhideWhenUsed/>
    <w:rsid w:val="007D5D5C"/>
    <w:pPr>
      <w:spacing w:before="100" w:beforeAutospacing="1" w:after="100" w:afterAutospacing="1"/>
    </w:pPr>
    <w:rPr>
      <w:rFonts w:ascii="Times" w:hAnsi="Times" w:cs="Times New Roman"/>
      <w:sz w:val="20"/>
      <w:lang w:val="en-GB" w:eastAsia="en-US"/>
    </w:rPr>
  </w:style>
  <w:style w:type="character" w:styleId="Hyperlink">
    <w:name w:val="Hyperlink"/>
    <w:basedOn w:val="DefaultParagraphFont"/>
    <w:uiPriority w:val="99"/>
    <w:unhideWhenUsed/>
    <w:rsid w:val="007D5D5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D5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D5D5C"/>
    <w:pPr>
      <w:spacing w:after="0"/>
    </w:pPr>
    <w:rPr>
      <w:szCs w:val="24"/>
    </w:rPr>
  </w:style>
  <w:style w:type="character" w:customStyle="1" w:styleId="FootnoteTextChar">
    <w:name w:val="Footnote Text Char"/>
    <w:basedOn w:val="DefaultParagraphFont"/>
    <w:link w:val="FootnoteText"/>
    <w:uiPriority w:val="99"/>
    <w:rsid w:val="007D5D5C"/>
    <w:rPr>
      <w:sz w:val="24"/>
      <w:szCs w:val="24"/>
    </w:rPr>
  </w:style>
  <w:style w:type="character" w:styleId="FootnoteReference">
    <w:name w:val="footnote reference"/>
    <w:basedOn w:val="DefaultParagraphFont"/>
    <w:uiPriority w:val="99"/>
    <w:unhideWhenUsed/>
    <w:rsid w:val="007D5D5C"/>
    <w:rPr>
      <w:vertAlign w:val="superscript"/>
    </w:rPr>
  </w:style>
  <w:style w:type="paragraph" w:customStyle="1" w:styleId="Default">
    <w:name w:val="Default"/>
    <w:rsid w:val="007D5D5C"/>
    <w:pPr>
      <w:widowControl w:val="0"/>
      <w:autoSpaceDE w:val="0"/>
      <w:autoSpaceDN w:val="0"/>
      <w:adjustRightInd w:val="0"/>
      <w:spacing w:after="0"/>
    </w:pPr>
    <w:rPr>
      <w:rFonts w:ascii="Arial" w:hAnsi="Arial" w:cs="Arial"/>
      <w:color w:val="000000"/>
      <w:sz w:val="24"/>
      <w:szCs w:val="24"/>
    </w:rPr>
  </w:style>
  <w:style w:type="paragraph" w:styleId="ListParagraph">
    <w:name w:val="List Paragraph"/>
    <w:basedOn w:val="Normal"/>
    <w:uiPriority w:val="34"/>
    <w:qFormat/>
    <w:rsid w:val="007D5D5C"/>
    <w:pPr>
      <w:ind w:left="720"/>
      <w:contextualSpacing/>
    </w:pPr>
  </w:style>
  <w:style w:type="paragraph" w:styleId="NormalWeb">
    <w:name w:val="Normal (Web)"/>
    <w:basedOn w:val="Normal"/>
    <w:uiPriority w:val="99"/>
    <w:unhideWhenUsed/>
    <w:rsid w:val="007D5D5C"/>
    <w:pPr>
      <w:spacing w:before="100" w:beforeAutospacing="1" w:after="100" w:afterAutospacing="1"/>
    </w:pPr>
    <w:rPr>
      <w:rFonts w:ascii="Times" w:hAnsi="Times" w:cs="Times New Roman"/>
      <w:sz w:val="20"/>
      <w:lang w:val="en-GB" w:eastAsia="en-US"/>
    </w:rPr>
  </w:style>
  <w:style w:type="character" w:styleId="Hyperlink">
    <w:name w:val="Hyperlink"/>
    <w:basedOn w:val="DefaultParagraphFont"/>
    <w:uiPriority w:val="99"/>
    <w:unhideWhenUsed/>
    <w:rsid w:val="007D5D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358251">
      <w:bodyDiv w:val="1"/>
      <w:marLeft w:val="0"/>
      <w:marRight w:val="0"/>
      <w:marTop w:val="0"/>
      <w:marBottom w:val="0"/>
      <w:divBdr>
        <w:top w:val="none" w:sz="0" w:space="0" w:color="auto"/>
        <w:left w:val="none" w:sz="0" w:space="0" w:color="auto"/>
        <w:bottom w:val="none" w:sz="0" w:space="0" w:color="auto"/>
        <w:right w:val="none" w:sz="0" w:space="0" w:color="auto"/>
      </w:divBdr>
      <w:divsChild>
        <w:div w:id="862858747">
          <w:marLeft w:val="0"/>
          <w:marRight w:val="0"/>
          <w:marTop w:val="0"/>
          <w:marBottom w:val="0"/>
          <w:divBdr>
            <w:top w:val="none" w:sz="0" w:space="0" w:color="auto"/>
            <w:left w:val="none" w:sz="0" w:space="0" w:color="auto"/>
            <w:bottom w:val="none" w:sz="0" w:space="0" w:color="auto"/>
            <w:right w:val="none" w:sz="0" w:space="0" w:color="auto"/>
          </w:divBdr>
          <w:divsChild>
            <w:div w:id="263997977">
              <w:marLeft w:val="0"/>
              <w:marRight w:val="0"/>
              <w:marTop w:val="0"/>
              <w:marBottom w:val="0"/>
              <w:divBdr>
                <w:top w:val="none" w:sz="0" w:space="0" w:color="auto"/>
                <w:left w:val="none" w:sz="0" w:space="0" w:color="auto"/>
                <w:bottom w:val="none" w:sz="0" w:space="0" w:color="auto"/>
                <w:right w:val="none" w:sz="0" w:space="0" w:color="auto"/>
              </w:divBdr>
              <w:divsChild>
                <w:div w:id="10784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41115">
      <w:bodyDiv w:val="1"/>
      <w:marLeft w:val="0"/>
      <w:marRight w:val="0"/>
      <w:marTop w:val="0"/>
      <w:marBottom w:val="0"/>
      <w:divBdr>
        <w:top w:val="none" w:sz="0" w:space="0" w:color="auto"/>
        <w:left w:val="none" w:sz="0" w:space="0" w:color="auto"/>
        <w:bottom w:val="none" w:sz="0" w:space="0" w:color="auto"/>
        <w:right w:val="none" w:sz="0" w:space="0" w:color="auto"/>
      </w:divBdr>
      <w:divsChild>
        <w:div w:id="344791026">
          <w:marLeft w:val="0"/>
          <w:marRight w:val="0"/>
          <w:marTop w:val="0"/>
          <w:marBottom w:val="0"/>
          <w:divBdr>
            <w:top w:val="none" w:sz="0" w:space="0" w:color="auto"/>
            <w:left w:val="none" w:sz="0" w:space="0" w:color="auto"/>
            <w:bottom w:val="none" w:sz="0" w:space="0" w:color="auto"/>
            <w:right w:val="none" w:sz="0" w:space="0" w:color="auto"/>
          </w:divBdr>
          <w:divsChild>
            <w:div w:id="1391031628">
              <w:marLeft w:val="0"/>
              <w:marRight w:val="0"/>
              <w:marTop w:val="0"/>
              <w:marBottom w:val="0"/>
              <w:divBdr>
                <w:top w:val="none" w:sz="0" w:space="0" w:color="auto"/>
                <w:left w:val="none" w:sz="0" w:space="0" w:color="auto"/>
                <w:bottom w:val="none" w:sz="0" w:space="0" w:color="auto"/>
                <w:right w:val="none" w:sz="0" w:space="0" w:color="auto"/>
              </w:divBdr>
              <w:divsChild>
                <w:div w:id="107362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562406">
      <w:bodyDiv w:val="1"/>
      <w:marLeft w:val="0"/>
      <w:marRight w:val="0"/>
      <w:marTop w:val="0"/>
      <w:marBottom w:val="0"/>
      <w:divBdr>
        <w:top w:val="none" w:sz="0" w:space="0" w:color="auto"/>
        <w:left w:val="none" w:sz="0" w:space="0" w:color="auto"/>
        <w:bottom w:val="none" w:sz="0" w:space="0" w:color="auto"/>
        <w:right w:val="none" w:sz="0" w:space="0" w:color="auto"/>
      </w:divBdr>
      <w:divsChild>
        <w:div w:id="1718551837">
          <w:marLeft w:val="0"/>
          <w:marRight w:val="0"/>
          <w:marTop w:val="0"/>
          <w:marBottom w:val="0"/>
          <w:divBdr>
            <w:top w:val="none" w:sz="0" w:space="0" w:color="auto"/>
            <w:left w:val="none" w:sz="0" w:space="0" w:color="auto"/>
            <w:bottom w:val="none" w:sz="0" w:space="0" w:color="auto"/>
            <w:right w:val="none" w:sz="0" w:space="0" w:color="auto"/>
          </w:divBdr>
          <w:divsChild>
            <w:div w:id="614872878">
              <w:marLeft w:val="0"/>
              <w:marRight w:val="0"/>
              <w:marTop w:val="0"/>
              <w:marBottom w:val="0"/>
              <w:divBdr>
                <w:top w:val="none" w:sz="0" w:space="0" w:color="auto"/>
                <w:left w:val="none" w:sz="0" w:space="0" w:color="auto"/>
                <w:bottom w:val="none" w:sz="0" w:space="0" w:color="auto"/>
                <w:right w:val="none" w:sz="0" w:space="0" w:color="auto"/>
              </w:divBdr>
              <w:divsChild>
                <w:div w:id="131013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247360">
      <w:bodyDiv w:val="1"/>
      <w:marLeft w:val="0"/>
      <w:marRight w:val="0"/>
      <w:marTop w:val="0"/>
      <w:marBottom w:val="0"/>
      <w:divBdr>
        <w:top w:val="none" w:sz="0" w:space="0" w:color="auto"/>
        <w:left w:val="none" w:sz="0" w:space="0" w:color="auto"/>
        <w:bottom w:val="none" w:sz="0" w:space="0" w:color="auto"/>
        <w:right w:val="none" w:sz="0" w:space="0" w:color="auto"/>
      </w:divBdr>
      <w:divsChild>
        <w:div w:id="673844493">
          <w:marLeft w:val="0"/>
          <w:marRight w:val="0"/>
          <w:marTop w:val="0"/>
          <w:marBottom w:val="0"/>
          <w:divBdr>
            <w:top w:val="none" w:sz="0" w:space="0" w:color="auto"/>
            <w:left w:val="none" w:sz="0" w:space="0" w:color="auto"/>
            <w:bottom w:val="none" w:sz="0" w:space="0" w:color="auto"/>
            <w:right w:val="none" w:sz="0" w:space="0" w:color="auto"/>
          </w:divBdr>
          <w:divsChild>
            <w:div w:id="114369800">
              <w:marLeft w:val="0"/>
              <w:marRight w:val="0"/>
              <w:marTop w:val="0"/>
              <w:marBottom w:val="0"/>
              <w:divBdr>
                <w:top w:val="none" w:sz="0" w:space="0" w:color="auto"/>
                <w:left w:val="none" w:sz="0" w:space="0" w:color="auto"/>
                <w:bottom w:val="none" w:sz="0" w:space="0" w:color="auto"/>
                <w:right w:val="none" w:sz="0" w:space="0" w:color="auto"/>
              </w:divBdr>
              <w:divsChild>
                <w:div w:id="125293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236417">
      <w:bodyDiv w:val="1"/>
      <w:marLeft w:val="0"/>
      <w:marRight w:val="0"/>
      <w:marTop w:val="0"/>
      <w:marBottom w:val="0"/>
      <w:divBdr>
        <w:top w:val="none" w:sz="0" w:space="0" w:color="auto"/>
        <w:left w:val="none" w:sz="0" w:space="0" w:color="auto"/>
        <w:bottom w:val="none" w:sz="0" w:space="0" w:color="auto"/>
        <w:right w:val="none" w:sz="0" w:space="0" w:color="auto"/>
      </w:divBdr>
      <w:divsChild>
        <w:div w:id="2112698803">
          <w:marLeft w:val="0"/>
          <w:marRight w:val="0"/>
          <w:marTop w:val="0"/>
          <w:marBottom w:val="0"/>
          <w:divBdr>
            <w:top w:val="none" w:sz="0" w:space="0" w:color="auto"/>
            <w:left w:val="none" w:sz="0" w:space="0" w:color="auto"/>
            <w:bottom w:val="none" w:sz="0" w:space="0" w:color="auto"/>
            <w:right w:val="none" w:sz="0" w:space="0" w:color="auto"/>
          </w:divBdr>
          <w:divsChild>
            <w:div w:id="2055349420">
              <w:marLeft w:val="0"/>
              <w:marRight w:val="0"/>
              <w:marTop w:val="0"/>
              <w:marBottom w:val="0"/>
              <w:divBdr>
                <w:top w:val="none" w:sz="0" w:space="0" w:color="auto"/>
                <w:left w:val="none" w:sz="0" w:space="0" w:color="auto"/>
                <w:bottom w:val="none" w:sz="0" w:space="0" w:color="auto"/>
                <w:right w:val="none" w:sz="0" w:space="0" w:color="auto"/>
              </w:divBdr>
              <w:divsChild>
                <w:div w:id="202119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536003">
      <w:bodyDiv w:val="1"/>
      <w:marLeft w:val="0"/>
      <w:marRight w:val="0"/>
      <w:marTop w:val="0"/>
      <w:marBottom w:val="0"/>
      <w:divBdr>
        <w:top w:val="none" w:sz="0" w:space="0" w:color="auto"/>
        <w:left w:val="none" w:sz="0" w:space="0" w:color="auto"/>
        <w:bottom w:val="none" w:sz="0" w:space="0" w:color="auto"/>
        <w:right w:val="none" w:sz="0" w:space="0" w:color="auto"/>
      </w:divBdr>
      <w:divsChild>
        <w:div w:id="26179828">
          <w:marLeft w:val="0"/>
          <w:marRight w:val="0"/>
          <w:marTop w:val="0"/>
          <w:marBottom w:val="0"/>
          <w:divBdr>
            <w:top w:val="none" w:sz="0" w:space="0" w:color="auto"/>
            <w:left w:val="none" w:sz="0" w:space="0" w:color="auto"/>
            <w:bottom w:val="none" w:sz="0" w:space="0" w:color="auto"/>
            <w:right w:val="none" w:sz="0" w:space="0" w:color="auto"/>
          </w:divBdr>
          <w:divsChild>
            <w:div w:id="1013924245">
              <w:marLeft w:val="0"/>
              <w:marRight w:val="0"/>
              <w:marTop w:val="0"/>
              <w:marBottom w:val="0"/>
              <w:divBdr>
                <w:top w:val="none" w:sz="0" w:space="0" w:color="auto"/>
                <w:left w:val="none" w:sz="0" w:space="0" w:color="auto"/>
                <w:bottom w:val="none" w:sz="0" w:space="0" w:color="auto"/>
                <w:right w:val="none" w:sz="0" w:space="0" w:color="auto"/>
              </w:divBdr>
              <w:divsChild>
                <w:div w:id="2190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661816">
      <w:bodyDiv w:val="1"/>
      <w:marLeft w:val="0"/>
      <w:marRight w:val="0"/>
      <w:marTop w:val="0"/>
      <w:marBottom w:val="0"/>
      <w:divBdr>
        <w:top w:val="none" w:sz="0" w:space="0" w:color="auto"/>
        <w:left w:val="none" w:sz="0" w:space="0" w:color="auto"/>
        <w:bottom w:val="none" w:sz="0" w:space="0" w:color="auto"/>
        <w:right w:val="none" w:sz="0" w:space="0" w:color="auto"/>
      </w:divBdr>
      <w:divsChild>
        <w:div w:id="784155098">
          <w:marLeft w:val="0"/>
          <w:marRight w:val="0"/>
          <w:marTop w:val="0"/>
          <w:marBottom w:val="0"/>
          <w:divBdr>
            <w:top w:val="none" w:sz="0" w:space="0" w:color="auto"/>
            <w:left w:val="none" w:sz="0" w:space="0" w:color="auto"/>
            <w:bottom w:val="none" w:sz="0" w:space="0" w:color="auto"/>
            <w:right w:val="none" w:sz="0" w:space="0" w:color="auto"/>
          </w:divBdr>
          <w:divsChild>
            <w:div w:id="68160467">
              <w:marLeft w:val="0"/>
              <w:marRight w:val="0"/>
              <w:marTop w:val="0"/>
              <w:marBottom w:val="0"/>
              <w:divBdr>
                <w:top w:val="none" w:sz="0" w:space="0" w:color="auto"/>
                <w:left w:val="none" w:sz="0" w:space="0" w:color="auto"/>
                <w:bottom w:val="none" w:sz="0" w:space="0" w:color="auto"/>
                <w:right w:val="none" w:sz="0" w:space="0" w:color="auto"/>
              </w:divBdr>
              <w:divsChild>
                <w:div w:id="200357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194134">
      <w:bodyDiv w:val="1"/>
      <w:marLeft w:val="0"/>
      <w:marRight w:val="0"/>
      <w:marTop w:val="0"/>
      <w:marBottom w:val="0"/>
      <w:divBdr>
        <w:top w:val="none" w:sz="0" w:space="0" w:color="auto"/>
        <w:left w:val="none" w:sz="0" w:space="0" w:color="auto"/>
        <w:bottom w:val="none" w:sz="0" w:space="0" w:color="auto"/>
        <w:right w:val="none" w:sz="0" w:space="0" w:color="auto"/>
      </w:divBdr>
      <w:divsChild>
        <w:div w:id="100682880">
          <w:marLeft w:val="0"/>
          <w:marRight w:val="0"/>
          <w:marTop w:val="0"/>
          <w:marBottom w:val="0"/>
          <w:divBdr>
            <w:top w:val="none" w:sz="0" w:space="0" w:color="auto"/>
            <w:left w:val="none" w:sz="0" w:space="0" w:color="auto"/>
            <w:bottom w:val="none" w:sz="0" w:space="0" w:color="auto"/>
            <w:right w:val="none" w:sz="0" w:space="0" w:color="auto"/>
          </w:divBdr>
          <w:divsChild>
            <w:div w:id="1720082195">
              <w:marLeft w:val="0"/>
              <w:marRight w:val="0"/>
              <w:marTop w:val="0"/>
              <w:marBottom w:val="0"/>
              <w:divBdr>
                <w:top w:val="none" w:sz="0" w:space="0" w:color="auto"/>
                <w:left w:val="none" w:sz="0" w:space="0" w:color="auto"/>
                <w:bottom w:val="none" w:sz="0" w:space="0" w:color="auto"/>
                <w:right w:val="none" w:sz="0" w:space="0" w:color="auto"/>
              </w:divBdr>
              <w:divsChild>
                <w:div w:id="9232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967471">
      <w:bodyDiv w:val="1"/>
      <w:marLeft w:val="0"/>
      <w:marRight w:val="0"/>
      <w:marTop w:val="0"/>
      <w:marBottom w:val="0"/>
      <w:divBdr>
        <w:top w:val="none" w:sz="0" w:space="0" w:color="auto"/>
        <w:left w:val="none" w:sz="0" w:space="0" w:color="auto"/>
        <w:bottom w:val="none" w:sz="0" w:space="0" w:color="auto"/>
        <w:right w:val="none" w:sz="0" w:space="0" w:color="auto"/>
      </w:divBdr>
      <w:divsChild>
        <w:div w:id="949968061">
          <w:marLeft w:val="0"/>
          <w:marRight w:val="0"/>
          <w:marTop w:val="0"/>
          <w:marBottom w:val="0"/>
          <w:divBdr>
            <w:top w:val="none" w:sz="0" w:space="0" w:color="auto"/>
            <w:left w:val="none" w:sz="0" w:space="0" w:color="auto"/>
            <w:bottom w:val="none" w:sz="0" w:space="0" w:color="auto"/>
            <w:right w:val="none" w:sz="0" w:space="0" w:color="auto"/>
          </w:divBdr>
          <w:divsChild>
            <w:div w:id="673803253">
              <w:marLeft w:val="0"/>
              <w:marRight w:val="0"/>
              <w:marTop w:val="0"/>
              <w:marBottom w:val="0"/>
              <w:divBdr>
                <w:top w:val="none" w:sz="0" w:space="0" w:color="auto"/>
                <w:left w:val="none" w:sz="0" w:space="0" w:color="auto"/>
                <w:bottom w:val="none" w:sz="0" w:space="0" w:color="auto"/>
                <w:right w:val="none" w:sz="0" w:space="0" w:color="auto"/>
              </w:divBdr>
              <w:divsChild>
                <w:div w:id="1771924385">
                  <w:marLeft w:val="0"/>
                  <w:marRight w:val="0"/>
                  <w:marTop w:val="0"/>
                  <w:marBottom w:val="0"/>
                  <w:divBdr>
                    <w:top w:val="none" w:sz="0" w:space="0" w:color="auto"/>
                    <w:left w:val="none" w:sz="0" w:space="0" w:color="auto"/>
                    <w:bottom w:val="none" w:sz="0" w:space="0" w:color="auto"/>
                    <w:right w:val="none" w:sz="0" w:space="0" w:color="auto"/>
                  </w:divBdr>
                  <w:divsChild>
                    <w:div w:id="11136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082503">
      <w:bodyDiv w:val="1"/>
      <w:marLeft w:val="0"/>
      <w:marRight w:val="0"/>
      <w:marTop w:val="0"/>
      <w:marBottom w:val="0"/>
      <w:divBdr>
        <w:top w:val="none" w:sz="0" w:space="0" w:color="auto"/>
        <w:left w:val="none" w:sz="0" w:space="0" w:color="auto"/>
        <w:bottom w:val="none" w:sz="0" w:space="0" w:color="auto"/>
        <w:right w:val="none" w:sz="0" w:space="0" w:color="auto"/>
      </w:divBdr>
      <w:divsChild>
        <w:div w:id="767235733">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0"/>
              <w:divBdr>
                <w:top w:val="none" w:sz="0" w:space="0" w:color="auto"/>
                <w:left w:val="none" w:sz="0" w:space="0" w:color="auto"/>
                <w:bottom w:val="none" w:sz="0" w:space="0" w:color="auto"/>
                <w:right w:val="none" w:sz="0" w:space="0" w:color="auto"/>
              </w:divBdr>
              <w:divsChild>
                <w:div w:id="51611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81167">
      <w:bodyDiv w:val="1"/>
      <w:marLeft w:val="0"/>
      <w:marRight w:val="0"/>
      <w:marTop w:val="0"/>
      <w:marBottom w:val="0"/>
      <w:divBdr>
        <w:top w:val="none" w:sz="0" w:space="0" w:color="auto"/>
        <w:left w:val="none" w:sz="0" w:space="0" w:color="auto"/>
        <w:bottom w:val="none" w:sz="0" w:space="0" w:color="auto"/>
        <w:right w:val="none" w:sz="0" w:space="0" w:color="auto"/>
      </w:divBdr>
      <w:divsChild>
        <w:div w:id="1772775335">
          <w:marLeft w:val="0"/>
          <w:marRight w:val="0"/>
          <w:marTop w:val="0"/>
          <w:marBottom w:val="0"/>
          <w:divBdr>
            <w:top w:val="none" w:sz="0" w:space="0" w:color="auto"/>
            <w:left w:val="none" w:sz="0" w:space="0" w:color="auto"/>
            <w:bottom w:val="none" w:sz="0" w:space="0" w:color="auto"/>
            <w:right w:val="none" w:sz="0" w:space="0" w:color="auto"/>
          </w:divBdr>
          <w:divsChild>
            <w:div w:id="1253468287">
              <w:marLeft w:val="0"/>
              <w:marRight w:val="0"/>
              <w:marTop w:val="0"/>
              <w:marBottom w:val="0"/>
              <w:divBdr>
                <w:top w:val="none" w:sz="0" w:space="0" w:color="auto"/>
                <w:left w:val="none" w:sz="0" w:space="0" w:color="auto"/>
                <w:bottom w:val="none" w:sz="0" w:space="0" w:color="auto"/>
                <w:right w:val="none" w:sz="0" w:space="0" w:color="auto"/>
              </w:divBdr>
              <w:divsChild>
                <w:div w:id="1847674472">
                  <w:marLeft w:val="0"/>
                  <w:marRight w:val="0"/>
                  <w:marTop w:val="0"/>
                  <w:marBottom w:val="0"/>
                  <w:divBdr>
                    <w:top w:val="none" w:sz="0" w:space="0" w:color="auto"/>
                    <w:left w:val="none" w:sz="0" w:space="0" w:color="auto"/>
                    <w:bottom w:val="none" w:sz="0" w:space="0" w:color="auto"/>
                    <w:right w:val="none" w:sz="0" w:space="0" w:color="auto"/>
                  </w:divBdr>
                  <w:divsChild>
                    <w:div w:id="1036348977">
                      <w:marLeft w:val="0"/>
                      <w:marRight w:val="0"/>
                      <w:marTop w:val="0"/>
                      <w:marBottom w:val="0"/>
                      <w:divBdr>
                        <w:top w:val="none" w:sz="0" w:space="0" w:color="auto"/>
                        <w:left w:val="none" w:sz="0" w:space="0" w:color="auto"/>
                        <w:bottom w:val="none" w:sz="0" w:space="0" w:color="auto"/>
                        <w:right w:val="none" w:sz="0" w:space="0" w:color="auto"/>
                      </w:divBdr>
                    </w:div>
                  </w:divsChild>
                </w:div>
                <w:div w:id="1996831506">
                  <w:marLeft w:val="0"/>
                  <w:marRight w:val="0"/>
                  <w:marTop w:val="0"/>
                  <w:marBottom w:val="0"/>
                  <w:divBdr>
                    <w:top w:val="none" w:sz="0" w:space="0" w:color="auto"/>
                    <w:left w:val="none" w:sz="0" w:space="0" w:color="auto"/>
                    <w:bottom w:val="none" w:sz="0" w:space="0" w:color="auto"/>
                    <w:right w:val="none" w:sz="0" w:space="0" w:color="auto"/>
                  </w:divBdr>
                  <w:divsChild>
                    <w:div w:id="36445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904041">
          <w:marLeft w:val="0"/>
          <w:marRight w:val="0"/>
          <w:marTop w:val="0"/>
          <w:marBottom w:val="0"/>
          <w:divBdr>
            <w:top w:val="none" w:sz="0" w:space="0" w:color="auto"/>
            <w:left w:val="none" w:sz="0" w:space="0" w:color="auto"/>
            <w:bottom w:val="none" w:sz="0" w:space="0" w:color="auto"/>
            <w:right w:val="none" w:sz="0" w:space="0" w:color="auto"/>
          </w:divBdr>
          <w:divsChild>
            <w:div w:id="56824355">
              <w:marLeft w:val="0"/>
              <w:marRight w:val="0"/>
              <w:marTop w:val="0"/>
              <w:marBottom w:val="0"/>
              <w:divBdr>
                <w:top w:val="none" w:sz="0" w:space="0" w:color="auto"/>
                <w:left w:val="none" w:sz="0" w:space="0" w:color="auto"/>
                <w:bottom w:val="none" w:sz="0" w:space="0" w:color="auto"/>
                <w:right w:val="none" w:sz="0" w:space="0" w:color="auto"/>
              </w:divBdr>
              <w:divsChild>
                <w:div w:id="173806203">
                  <w:marLeft w:val="0"/>
                  <w:marRight w:val="0"/>
                  <w:marTop w:val="0"/>
                  <w:marBottom w:val="0"/>
                  <w:divBdr>
                    <w:top w:val="none" w:sz="0" w:space="0" w:color="auto"/>
                    <w:left w:val="none" w:sz="0" w:space="0" w:color="auto"/>
                    <w:bottom w:val="none" w:sz="0" w:space="0" w:color="auto"/>
                    <w:right w:val="none" w:sz="0" w:space="0" w:color="auto"/>
                  </w:divBdr>
                </w:div>
              </w:divsChild>
            </w:div>
            <w:div w:id="1140073397">
              <w:marLeft w:val="0"/>
              <w:marRight w:val="0"/>
              <w:marTop w:val="0"/>
              <w:marBottom w:val="0"/>
              <w:divBdr>
                <w:top w:val="none" w:sz="0" w:space="0" w:color="auto"/>
                <w:left w:val="none" w:sz="0" w:space="0" w:color="auto"/>
                <w:bottom w:val="none" w:sz="0" w:space="0" w:color="auto"/>
                <w:right w:val="none" w:sz="0" w:space="0" w:color="auto"/>
              </w:divBdr>
              <w:divsChild>
                <w:div w:id="115757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513947">
      <w:bodyDiv w:val="1"/>
      <w:marLeft w:val="0"/>
      <w:marRight w:val="0"/>
      <w:marTop w:val="0"/>
      <w:marBottom w:val="0"/>
      <w:divBdr>
        <w:top w:val="none" w:sz="0" w:space="0" w:color="auto"/>
        <w:left w:val="none" w:sz="0" w:space="0" w:color="auto"/>
        <w:bottom w:val="none" w:sz="0" w:space="0" w:color="auto"/>
        <w:right w:val="none" w:sz="0" w:space="0" w:color="auto"/>
      </w:divBdr>
      <w:divsChild>
        <w:div w:id="2003659543">
          <w:marLeft w:val="0"/>
          <w:marRight w:val="0"/>
          <w:marTop w:val="0"/>
          <w:marBottom w:val="0"/>
          <w:divBdr>
            <w:top w:val="none" w:sz="0" w:space="0" w:color="auto"/>
            <w:left w:val="none" w:sz="0" w:space="0" w:color="auto"/>
            <w:bottom w:val="none" w:sz="0" w:space="0" w:color="auto"/>
            <w:right w:val="none" w:sz="0" w:space="0" w:color="auto"/>
          </w:divBdr>
          <w:divsChild>
            <w:div w:id="1254706404">
              <w:marLeft w:val="0"/>
              <w:marRight w:val="0"/>
              <w:marTop w:val="0"/>
              <w:marBottom w:val="0"/>
              <w:divBdr>
                <w:top w:val="none" w:sz="0" w:space="0" w:color="auto"/>
                <w:left w:val="none" w:sz="0" w:space="0" w:color="auto"/>
                <w:bottom w:val="none" w:sz="0" w:space="0" w:color="auto"/>
                <w:right w:val="none" w:sz="0" w:space="0" w:color="auto"/>
              </w:divBdr>
              <w:divsChild>
                <w:div w:id="191492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idras.ac.uk" TargetMode="External"/><Relationship Id="rId9" Type="http://schemas.openxmlformats.org/officeDocument/2006/relationships/hyperlink" Target="mailto:gre1001@cam.ac.uk"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nao.org.uk/report/investigation-financial-support-students-alternative-higher-education-provider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744</TotalTime>
  <Pages>27</Pages>
  <Words>6511</Words>
  <Characters>37119</Characters>
  <Application>Microsoft Macintosh Word</Application>
  <DocSecurity>0</DocSecurity>
  <Lines>309</Lines>
  <Paragraphs>87</Paragraphs>
  <ScaleCrop>false</ScaleCrop>
  <Company/>
  <LinksUpToDate>false</LinksUpToDate>
  <CharactersWithSpaces>43543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Evans</dc:creator>
  <cp:keywords/>
  <dc:description/>
  <cp:lastModifiedBy>Gillian Evans</cp:lastModifiedBy>
  <cp:revision>24</cp:revision>
  <dcterms:created xsi:type="dcterms:W3CDTF">2015-12-31T11:39:00Z</dcterms:created>
  <dcterms:modified xsi:type="dcterms:W3CDTF">2016-01-13T11:15:00Z</dcterms:modified>
</cp:coreProperties>
</file>