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8FA" w:rsidRPr="00E458FA" w:rsidRDefault="00E458FA" w:rsidP="00A84A27">
      <w:pPr>
        <w:spacing w:after="288" w:line="240" w:lineRule="auto"/>
        <w:ind w:left="142"/>
        <w:jc w:val="both"/>
        <w:rPr>
          <w:rFonts w:eastAsia="Times New Roman" w:cs="Times New Roman"/>
          <w:szCs w:val="24"/>
        </w:rPr>
      </w:pPr>
      <w:r w:rsidRPr="00E458FA">
        <w:rPr>
          <w:rFonts w:ascii="Helvetica" w:eastAsia="Times New Roman" w:hAnsi="Helvetica" w:cs="Helvetica"/>
          <w:noProof/>
          <w:color w:val="2E6DA4"/>
          <w:szCs w:val="24"/>
          <w:lang w:eastAsia="en-GB"/>
        </w:rPr>
        <w:drawing>
          <wp:inline distT="0" distB="0" distL="0" distR="0" wp14:anchorId="1B0AB2F3" wp14:editId="047FD6BE">
            <wp:extent cx="6301740" cy="606834"/>
            <wp:effectExtent l="0" t="0" r="3810" b="3175"/>
            <wp:docPr id="1" name="Picture 1" descr="Colour landscape logo low res jpeg">
              <a:hlinkClick xmlns:a="http://schemas.openxmlformats.org/drawingml/2006/main" r:id="rId8" tooltip="&quot;image-BISLogo-landscapecolour-lowres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ur landscape logo low res jpeg">
                      <a:hlinkClick r:id="rId8" tooltip="&quot;image-BISLogo-landscapecolour-lowresjpg&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02968" cy="606952"/>
                    </a:xfrm>
                    <a:prstGeom prst="rect">
                      <a:avLst/>
                    </a:prstGeom>
                    <a:noFill/>
                    <a:ln>
                      <a:noFill/>
                    </a:ln>
                  </pic:spPr>
                </pic:pic>
              </a:graphicData>
            </a:graphic>
          </wp:inline>
        </w:drawing>
      </w:r>
    </w:p>
    <w:p w:rsidR="00E458FA" w:rsidRPr="00E458FA" w:rsidRDefault="00E458FA" w:rsidP="00E458FA">
      <w:pPr>
        <w:keepNext/>
        <w:spacing w:before="120" w:after="240" w:line="240" w:lineRule="auto"/>
        <w:ind w:left="142"/>
        <w:outlineLvl w:val="1"/>
        <w:rPr>
          <w:rFonts w:eastAsia="Times New Roman" w:cs="Times New Roman"/>
          <w:b/>
          <w:bCs/>
          <w:iCs/>
          <w:color w:val="003478"/>
          <w:kern w:val="32"/>
          <w:sz w:val="32"/>
          <w:szCs w:val="28"/>
        </w:rPr>
      </w:pPr>
      <w:bookmarkStart w:id="0" w:name="_Toc434412495"/>
      <w:r w:rsidRPr="00E458FA">
        <w:rPr>
          <w:rFonts w:eastAsia="Times New Roman" w:cs="Times New Roman"/>
          <w:b/>
          <w:bCs/>
          <w:iCs/>
          <w:color w:val="003478"/>
          <w:kern w:val="32"/>
          <w:sz w:val="32"/>
          <w:szCs w:val="28"/>
        </w:rPr>
        <w:t>Fulfilling our Potential: Teaching Excellence, Social Mobility and Student Choice - Consultation</w:t>
      </w:r>
      <w:bookmarkEnd w:id="0"/>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You can reply to this consultation online at: </w:t>
      </w:r>
    </w:p>
    <w:p w:rsidR="00E458FA" w:rsidRPr="00E458FA" w:rsidRDefault="00273B72" w:rsidP="00E458FA">
      <w:pPr>
        <w:spacing w:after="288" w:line="240" w:lineRule="auto"/>
        <w:ind w:left="142"/>
        <w:rPr>
          <w:rFonts w:eastAsia="Times New Roman" w:cs="Times New Roman"/>
          <w:szCs w:val="24"/>
        </w:rPr>
      </w:pPr>
      <w:hyperlink r:id="rId10" w:history="1">
        <w:r w:rsidR="00E458FA" w:rsidRPr="00E458FA">
          <w:rPr>
            <w:rFonts w:eastAsia="Times New Roman" w:cs="Times New Roman"/>
            <w:color w:val="0000FF"/>
            <w:szCs w:val="24"/>
            <w:u w:val="single"/>
            <w:lang w:val="en"/>
          </w:rPr>
          <w:t>https://bisgovuk.citizenspace.com/he/fulfilling-our-potential</w:t>
        </w:r>
      </w:hyperlink>
      <w:r w:rsidR="00E458FA" w:rsidRPr="00E458FA">
        <w:rPr>
          <w:rFonts w:eastAsia="Times New Roman" w:cs="Times New Roman"/>
          <w:szCs w:val="24"/>
        </w:rPr>
        <w:t xml:space="preserve"> </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A copy of this response form is available at: </w:t>
      </w:r>
      <w:r w:rsidRPr="00E458FA">
        <w:rPr>
          <w:rFonts w:eastAsia="Times New Roman" w:cs="Times New Roman"/>
          <w:szCs w:val="24"/>
        </w:rPr>
        <w:br/>
      </w:r>
      <w:r w:rsidRPr="00E458FA">
        <w:rPr>
          <w:rFonts w:eastAsia="Times New Roman" w:cs="Times New Roman"/>
          <w:szCs w:val="24"/>
        </w:rPr>
        <w:br/>
      </w:r>
      <w:hyperlink r:id="rId11" w:history="1">
        <w:r w:rsidRPr="00E458FA">
          <w:rPr>
            <w:rFonts w:eastAsia="Times New Roman" w:cs="Times New Roman"/>
            <w:color w:val="0000FF"/>
            <w:szCs w:val="24"/>
            <w:u w:val="single"/>
          </w:rPr>
          <w:t>https://www.gov.uk/government/consultations/higher-education-teaching-excellence-social-mobility-and-student-choice</w:t>
        </w:r>
      </w:hyperlink>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The Department may, in accordance with the Code of Practice on Access to Government Information, make available, on public request, individual responses.</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The closing date for this consultation is 15/01/2016</w:t>
      </w: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Name:</w:t>
      </w:r>
      <w:r w:rsidR="00C85605">
        <w:rPr>
          <w:rFonts w:eastAsia="Times New Roman" w:cs="Times New Roman"/>
          <w:szCs w:val="24"/>
        </w:rPr>
        <w:t xml:space="preserve">   Professor Peter </w:t>
      </w:r>
      <w:proofErr w:type="spellStart"/>
      <w:r w:rsidR="00C85605">
        <w:rPr>
          <w:rFonts w:eastAsia="Times New Roman" w:cs="Times New Roman"/>
          <w:szCs w:val="24"/>
        </w:rPr>
        <w:t>Mandler</w:t>
      </w:r>
      <w:proofErr w:type="spellEnd"/>
    </w:p>
    <w:p w:rsidR="00C85605" w:rsidRDefault="00C85605" w:rsidP="00E458FA">
      <w:pPr>
        <w:spacing w:after="0" w:line="240" w:lineRule="auto"/>
        <w:ind w:left="142"/>
        <w:rPr>
          <w:rFonts w:eastAsia="Times New Roman" w:cs="Times New Roman"/>
          <w:szCs w:val="24"/>
        </w:rPr>
      </w:pPr>
    </w:p>
    <w:p w:rsid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Organisation (if applicable):</w:t>
      </w:r>
    </w:p>
    <w:p w:rsidR="00C85605" w:rsidRDefault="00C85605" w:rsidP="00E458FA">
      <w:pPr>
        <w:spacing w:after="0" w:line="240" w:lineRule="auto"/>
        <w:ind w:left="142"/>
        <w:rPr>
          <w:rFonts w:eastAsia="Times New Roman" w:cs="Times New Roman"/>
          <w:szCs w:val="24"/>
        </w:rPr>
      </w:pPr>
    </w:p>
    <w:p w:rsidR="00C85605" w:rsidRDefault="00C85605" w:rsidP="00E458FA">
      <w:pPr>
        <w:spacing w:after="0" w:line="240" w:lineRule="auto"/>
        <w:ind w:left="142"/>
        <w:rPr>
          <w:rFonts w:eastAsia="Times New Roman" w:cs="Times New Roman"/>
          <w:szCs w:val="24"/>
        </w:rPr>
      </w:pPr>
      <w:r>
        <w:rPr>
          <w:rFonts w:eastAsia="Times New Roman" w:cs="Times New Roman"/>
          <w:szCs w:val="24"/>
        </w:rPr>
        <w:t>Arts and Humanities Alliance</w:t>
      </w:r>
    </w:p>
    <w:p w:rsidR="00C85605" w:rsidRDefault="00C85605" w:rsidP="00E458FA">
      <w:pPr>
        <w:spacing w:after="0" w:line="240" w:lineRule="auto"/>
        <w:ind w:left="142"/>
        <w:rPr>
          <w:rFonts w:eastAsia="Times New Roman" w:cs="Times New Roman"/>
          <w:szCs w:val="24"/>
        </w:rPr>
      </w:pPr>
      <w:r>
        <w:rPr>
          <w:rFonts w:eastAsia="Times New Roman" w:cs="Times New Roman"/>
          <w:szCs w:val="24"/>
        </w:rPr>
        <w:t>*</w:t>
      </w:r>
      <w:r>
        <w:rPr>
          <w:rFonts w:eastAsia="Times New Roman" w:cs="Times New Roman"/>
          <w:szCs w:val="24"/>
        </w:rPr>
        <w:tab/>
        <w:t>A federation of learned societies in the arts and humanities;</w:t>
      </w:r>
    </w:p>
    <w:p w:rsidR="004D1E32" w:rsidRDefault="004D1E32" w:rsidP="00E458FA">
      <w:pPr>
        <w:spacing w:after="0" w:line="240" w:lineRule="auto"/>
        <w:ind w:left="142"/>
        <w:rPr>
          <w:rFonts w:eastAsia="Times New Roman" w:cs="Times New Roman"/>
          <w:szCs w:val="24"/>
        </w:rPr>
      </w:pPr>
      <w:r>
        <w:rPr>
          <w:rFonts w:eastAsia="Times New Roman" w:cs="Times New Roman"/>
          <w:szCs w:val="24"/>
        </w:rPr>
        <w:t>*</w:t>
      </w:r>
      <w:r>
        <w:rPr>
          <w:rFonts w:eastAsia="Times New Roman" w:cs="Times New Roman"/>
          <w:szCs w:val="24"/>
        </w:rPr>
        <w:tab/>
        <w:t>T</w:t>
      </w:r>
      <w:r w:rsidR="00C85605">
        <w:rPr>
          <w:rFonts w:eastAsia="Times New Roman" w:cs="Times New Roman"/>
          <w:szCs w:val="24"/>
        </w:rPr>
        <w:t>his submission has been endorsed by</w:t>
      </w:r>
      <w:r>
        <w:rPr>
          <w:rFonts w:eastAsia="Times New Roman" w:cs="Times New Roman"/>
          <w:szCs w:val="24"/>
        </w:rPr>
        <w:t xml:space="preserve">: </w:t>
      </w:r>
    </w:p>
    <w:p w:rsidR="004D1E32" w:rsidRDefault="004D1E32" w:rsidP="00E458FA">
      <w:pPr>
        <w:spacing w:after="0" w:line="240" w:lineRule="auto"/>
        <w:ind w:left="142"/>
        <w:rPr>
          <w:rFonts w:eastAsia="Times New Roman" w:cs="Times New Roman"/>
          <w:szCs w:val="24"/>
        </w:rPr>
      </w:pPr>
    </w:p>
    <w:p w:rsidR="00C85605" w:rsidRDefault="00090ACF" w:rsidP="00626F5B">
      <w:pPr>
        <w:spacing w:after="0" w:line="240" w:lineRule="auto"/>
        <w:ind w:left="142"/>
        <w:rPr>
          <w:rFonts w:eastAsia="Times New Roman" w:cs="Times New Roman"/>
          <w:szCs w:val="24"/>
        </w:rPr>
      </w:pPr>
      <w:r w:rsidRPr="00090ACF">
        <w:rPr>
          <w:rFonts w:eastAsia="Times New Roman" w:cs="Times New Roman"/>
          <w:szCs w:val="24"/>
        </w:rPr>
        <w:t>African Studies Association, UK</w:t>
      </w:r>
      <w:r>
        <w:rPr>
          <w:rFonts w:eastAsia="Times New Roman" w:cs="Times New Roman"/>
          <w:szCs w:val="24"/>
        </w:rPr>
        <w:t xml:space="preserve">;  </w:t>
      </w:r>
      <w:r w:rsidR="00C85605">
        <w:rPr>
          <w:rFonts w:eastAsia="Times New Roman" w:cs="Times New Roman"/>
          <w:szCs w:val="24"/>
        </w:rPr>
        <w:t xml:space="preserve">Architectural Humanities Research Association;  </w:t>
      </w:r>
      <w:r w:rsidR="004D1E32">
        <w:rPr>
          <w:rFonts w:eastAsia="Times New Roman" w:cs="Times New Roman"/>
          <w:szCs w:val="24"/>
        </w:rPr>
        <w:t xml:space="preserve">Aristotelian Society;  </w:t>
      </w:r>
      <w:r w:rsidR="00C85605">
        <w:rPr>
          <w:rFonts w:eastAsia="Times New Roman" w:cs="Times New Roman"/>
          <w:szCs w:val="24"/>
        </w:rPr>
        <w:t xml:space="preserve">Association of </w:t>
      </w:r>
      <w:proofErr w:type="spellStart"/>
      <w:r w:rsidR="00C85605">
        <w:rPr>
          <w:rFonts w:eastAsia="Times New Roman" w:cs="Times New Roman"/>
          <w:szCs w:val="24"/>
        </w:rPr>
        <w:t>Hispanists</w:t>
      </w:r>
      <w:proofErr w:type="spellEnd"/>
      <w:r w:rsidR="00C85605">
        <w:rPr>
          <w:rFonts w:eastAsia="Times New Roman" w:cs="Times New Roman"/>
          <w:szCs w:val="24"/>
        </w:rPr>
        <w:t xml:space="preserve"> of Great Britain and Ireland;  </w:t>
      </w:r>
      <w:r w:rsidR="001F0DA7">
        <w:rPr>
          <w:rFonts w:eastAsia="Times New Roman" w:cs="Times New Roman"/>
          <w:szCs w:val="24"/>
        </w:rPr>
        <w:t xml:space="preserve">British Association for American Studies;  </w:t>
      </w:r>
      <w:r w:rsidR="00626F5B" w:rsidRPr="00626F5B">
        <w:rPr>
          <w:rFonts w:eastAsia="Times New Roman" w:cs="Times New Roman"/>
          <w:szCs w:val="24"/>
        </w:rPr>
        <w:t>British Association for</w:t>
      </w:r>
      <w:r w:rsidR="00626F5B">
        <w:rPr>
          <w:rFonts w:eastAsia="Times New Roman" w:cs="Times New Roman"/>
          <w:szCs w:val="24"/>
        </w:rPr>
        <w:t xml:space="preserve"> </w:t>
      </w:r>
      <w:bookmarkStart w:id="1" w:name="_GoBack"/>
      <w:bookmarkEnd w:id="1"/>
      <w:r w:rsidR="00626F5B" w:rsidRPr="00626F5B">
        <w:rPr>
          <w:rFonts w:eastAsia="Times New Roman" w:cs="Times New Roman"/>
          <w:szCs w:val="24"/>
        </w:rPr>
        <w:t>Chinese Studies</w:t>
      </w:r>
      <w:r w:rsidR="00626F5B">
        <w:rPr>
          <w:rFonts w:eastAsia="Times New Roman" w:cs="Times New Roman"/>
          <w:szCs w:val="24"/>
        </w:rPr>
        <w:t xml:space="preserve">;  </w:t>
      </w:r>
      <w:r w:rsidR="00C85605">
        <w:rPr>
          <w:rFonts w:eastAsia="Times New Roman" w:cs="Times New Roman"/>
          <w:szCs w:val="24"/>
        </w:rPr>
        <w:t xml:space="preserve">British Association for Korean Studies;  </w:t>
      </w:r>
      <w:r w:rsidRPr="00090ACF">
        <w:rPr>
          <w:rFonts w:eastAsia="Times New Roman" w:cs="Times New Roman"/>
          <w:szCs w:val="24"/>
        </w:rPr>
        <w:t>British Association for Slavonic and East European Studies</w:t>
      </w:r>
      <w:r>
        <w:rPr>
          <w:rFonts w:eastAsia="Times New Roman" w:cs="Times New Roman"/>
          <w:szCs w:val="24"/>
        </w:rPr>
        <w:t xml:space="preserve">;  </w:t>
      </w:r>
      <w:r w:rsidR="00983D2A" w:rsidRPr="00983D2A">
        <w:rPr>
          <w:rFonts w:eastAsia="Times New Roman" w:cs="Times New Roman"/>
          <w:szCs w:val="24"/>
        </w:rPr>
        <w:t>British Association for the Study of Religions</w:t>
      </w:r>
      <w:r w:rsidR="00983D2A">
        <w:rPr>
          <w:rFonts w:eastAsia="Times New Roman" w:cs="Times New Roman"/>
          <w:szCs w:val="24"/>
        </w:rPr>
        <w:t xml:space="preserve">;  </w:t>
      </w:r>
      <w:r w:rsidR="00C85605">
        <w:rPr>
          <w:rFonts w:eastAsia="Times New Roman" w:cs="Times New Roman"/>
          <w:szCs w:val="24"/>
        </w:rPr>
        <w:t xml:space="preserve">British Society for the History of Science;  </w:t>
      </w:r>
      <w:r w:rsidR="005E240A" w:rsidRPr="005E240A">
        <w:rPr>
          <w:rFonts w:eastAsia="Times New Roman" w:cs="Times New Roman"/>
          <w:szCs w:val="24"/>
        </w:rPr>
        <w:t>Council of University Classical Departments</w:t>
      </w:r>
      <w:r w:rsidR="005E240A">
        <w:rPr>
          <w:rFonts w:eastAsia="Times New Roman" w:cs="Times New Roman"/>
          <w:szCs w:val="24"/>
        </w:rPr>
        <w:t xml:space="preserve">;  </w:t>
      </w:r>
      <w:r w:rsidR="00983D2A">
        <w:rPr>
          <w:rFonts w:eastAsia="Times New Roman" w:cs="Times New Roman"/>
          <w:szCs w:val="24"/>
        </w:rPr>
        <w:t xml:space="preserve">English Association;  Folklore Society;  </w:t>
      </w:r>
      <w:r w:rsidR="00983D2A" w:rsidRPr="00983D2A">
        <w:rPr>
          <w:rFonts w:eastAsia="Times New Roman" w:cs="Times New Roman"/>
          <w:szCs w:val="24"/>
        </w:rPr>
        <w:t>Linguistics Association of Great Britain</w:t>
      </w:r>
      <w:r w:rsidR="00983D2A">
        <w:rPr>
          <w:rFonts w:eastAsia="Times New Roman" w:cs="Times New Roman"/>
          <w:szCs w:val="24"/>
        </w:rPr>
        <w:t xml:space="preserve">;  </w:t>
      </w:r>
      <w:r w:rsidR="00C85605">
        <w:rPr>
          <w:rFonts w:eastAsia="Times New Roman" w:cs="Times New Roman"/>
          <w:szCs w:val="24"/>
        </w:rPr>
        <w:t xml:space="preserve">National Association for Music in Higher Education;  </w:t>
      </w:r>
      <w:r w:rsidR="00983D2A">
        <w:rPr>
          <w:rFonts w:eastAsia="Times New Roman" w:cs="Times New Roman"/>
          <w:szCs w:val="24"/>
        </w:rPr>
        <w:t xml:space="preserve">Oral History Society;  </w:t>
      </w:r>
      <w:r w:rsidR="00C85605">
        <w:rPr>
          <w:rFonts w:eastAsia="Times New Roman" w:cs="Times New Roman"/>
          <w:szCs w:val="24"/>
        </w:rPr>
        <w:t xml:space="preserve">Royal Historical Society;  </w:t>
      </w:r>
      <w:r w:rsidR="009B33E0">
        <w:rPr>
          <w:rFonts w:eastAsia="Times New Roman" w:cs="Times New Roman"/>
          <w:szCs w:val="24"/>
        </w:rPr>
        <w:t xml:space="preserve">Royal Musical Association;  </w:t>
      </w:r>
      <w:r w:rsidR="00C85605">
        <w:rPr>
          <w:rFonts w:eastAsia="Times New Roman" w:cs="Times New Roman"/>
          <w:szCs w:val="24"/>
        </w:rPr>
        <w:t xml:space="preserve">Society for French Studies;  </w:t>
      </w:r>
      <w:r w:rsidR="00983D2A" w:rsidRPr="00983D2A">
        <w:rPr>
          <w:rFonts w:eastAsia="Times New Roman" w:cs="Times New Roman"/>
          <w:szCs w:val="24"/>
        </w:rPr>
        <w:t>Society for the Promotion of Hellenic Studies</w:t>
      </w:r>
      <w:r w:rsidR="00983D2A">
        <w:rPr>
          <w:rFonts w:eastAsia="Times New Roman" w:cs="Times New Roman"/>
          <w:szCs w:val="24"/>
        </w:rPr>
        <w:t xml:space="preserve">;  </w:t>
      </w:r>
      <w:r w:rsidR="004D1E32">
        <w:rPr>
          <w:rFonts w:eastAsia="Times New Roman" w:cs="Times New Roman"/>
          <w:szCs w:val="24"/>
        </w:rPr>
        <w:t xml:space="preserve">Society for the Promotion of Roman Studies;  </w:t>
      </w:r>
      <w:r w:rsidRPr="00090ACF">
        <w:rPr>
          <w:rFonts w:eastAsia="Times New Roman" w:cs="Times New Roman"/>
          <w:szCs w:val="24"/>
        </w:rPr>
        <w:t>Society of La</w:t>
      </w:r>
      <w:r>
        <w:rPr>
          <w:rFonts w:eastAsia="Times New Roman" w:cs="Times New Roman"/>
          <w:szCs w:val="24"/>
        </w:rPr>
        <w:t xml:space="preserve">tin American Studies in the UK;  </w:t>
      </w:r>
      <w:r w:rsidR="00C85605">
        <w:rPr>
          <w:rFonts w:eastAsia="Times New Roman" w:cs="Times New Roman"/>
          <w:szCs w:val="24"/>
        </w:rPr>
        <w:t xml:space="preserve">Society of Neo-Latin Studies;  </w:t>
      </w:r>
      <w:r w:rsidR="001F0DA7" w:rsidRPr="001F0DA7">
        <w:rPr>
          <w:rFonts w:eastAsia="Times New Roman" w:cs="Times New Roman"/>
          <w:szCs w:val="24"/>
        </w:rPr>
        <w:t>Standing Conference of University Drama Departments</w:t>
      </w:r>
      <w:r w:rsidR="001F0DA7">
        <w:rPr>
          <w:rFonts w:eastAsia="Times New Roman" w:cs="Times New Roman"/>
          <w:szCs w:val="24"/>
        </w:rPr>
        <w:t xml:space="preserve">;  </w:t>
      </w:r>
      <w:r w:rsidR="00540209" w:rsidRPr="00540209">
        <w:rPr>
          <w:rFonts w:eastAsia="Times New Roman" w:cs="Times New Roman"/>
          <w:szCs w:val="24"/>
        </w:rPr>
        <w:t xml:space="preserve">Theology and Religious Studies </w:t>
      </w:r>
      <w:r w:rsidR="00540209">
        <w:rPr>
          <w:rFonts w:eastAsia="Times New Roman" w:cs="Times New Roman"/>
          <w:szCs w:val="24"/>
        </w:rPr>
        <w:t>–</w:t>
      </w:r>
      <w:r w:rsidR="00540209" w:rsidRPr="00540209">
        <w:rPr>
          <w:rFonts w:eastAsia="Times New Roman" w:cs="Times New Roman"/>
          <w:szCs w:val="24"/>
        </w:rPr>
        <w:t xml:space="preserve"> UK</w:t>
      </w:r>
      <w:r w:rsidR="00540209">
        <w:rPr>
          <w:rFonts w:eastAsia="Times New Roman" w:cs="Times New Roman"/>
          <w:szCs w:val="24"/>
        </w:rPr>
        <w:t xml:space="preserve">;  </w:t>
      </w:r>
      <w:r w:rsidR="00C85605">
        <w:rPr>
          <w:rFonts w:eastAsia="Times New Roman" w:cs="Times New Roman"/>
          <w:szCs w:val="24"/>
        </w:rPr>
        <w:t xml:space="preserve">UK Council of Area Studies Associations;  </w:t>
      </w:r>
      <w:r w:rsidR="001F0DA7">
        <w:t xml:space="preserve">University Archaeology UK;  </w:t>
      </w:r>
      <w:r w:rsidR="00C85605">
        <w:rPr>
          <w:rFonts w:eastAsia="Times New Roman" w:cs="Times New Roman"/>
          <w:szCs w:val="24"/>
        </w:rPr>
        <w:t>University Council for Modern Languages</w:t>
      </w:r>
      <w:r w:rsidR="00983D2A">
        <w:rPr>
          <w:rFonts w:eastAsia="Times New Roman" w:cs="Times New Roman"/>
          <w:szCs w:val="24"/>
        </w:rPr>
        <w:t>;  University English</w:t>
      </w:r>
    </w:p>
    <w:p w:rsidR="00C85605" w:rsidRPr="00E458FA" w:rsidRDefault="00C85605" w:rsidP="00E458FA">
      <w:pPr>
        <w:spacing w:after="0" w:line="240" w:lineRule="auto"/>
        <w:ind w:left="142"/>
        <w:rPr>
          <w:rFonts w:eastAsia="Times New Roman" w:cs="Times New Roman"/>
          <w:szCs w:val="24"/>
        </w:rPr>
      </w:pPr>
    </w:p>
    <w:p w:rsid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Address:</w:t>
      </w:r>
      <w:r w:rsidR="00C85605">
        <w:rPr>
          <w:rFonts w:eastAsia="Times New Roman" w:cs="Times New Roman"/>
          <w:szCs w:val="24"/>
        </w:rPr>
        <w:t xml:space="preserve">  c/o Royal Historical Society, UCL, </w:t>
      </w:r>
      <w:proofErr w:type="gramStart"/>
      <w:r w:rsidR="00C85605">
        <w:rPr>
          <w:rFonts w:eastAsia="Times New Roman" w:cs="Times New Roman"/>
          <w:szCs w:val="24"/>
        </w:rPr>
        <w:t>Gower</w:t>
      </w:r>
      <w:proofErr w:type="gramEnd"/>
      <w:r w:rsidR="00C85605">
        <w:rPr>
          <w:rFonts w:eastAsia="Times New Roman" w:cs="Times New Roman"/>
          <w:szCs w:val="24"/>
        </w:rPr>
        <w:t xml:space="preserve"> Street, London WC1E 6BT</w:t>
      </w:r>
    </w:p>
    <w:p w:rsidR="00C85605" w:rsidRPr="00E458FA" w:rsidRDefault="00C85605"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Email Address:</w:t>
      </w:r>
      <w:r w:rsidR="00C85605">
        <w:rPr>
          <w:rFonts w:eastAsia="Times New Roman" w:cs="Times New Roman"/>
          <w:szCs w:val="24"/>
        </w:rPr>
        <w:t xml:space="preserve">   pm297@cam.ac.uk</w:t>
      </w: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Please return completed forms to:</w:t>
      </w: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Alison Haines</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Higher Education Directorate</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Department for Business, Innovation and Skills</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Level 1, 2 St Paul’s Place</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125 Norfolk Street</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Sheffield</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S1 2FJ</w:t>
      </w: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proofErr w:type="gramStart"/>
      <w:r w:rsidRPr="00E458FA">
        <w:rPr>
          <w:rFonts w:eastAsia="Times New Roman" w:cs="Times New Roman"/>
          <w:szCs w:val="24"/>
        </w:rPr>
        <w:t>email</w:t>
      </w:r>
      <w:proofErr w:type="gramEnd"/>
      <w:r w:rsidRPr="00E458FA">
        <w:rPr>
          <w:rFonts w:eastAsia="Times New Roman" w:cs="Times New Roman"/>
          <w:szCs w:val="24"/>
        </w:rPr>
        <w:t>:</w:t>
      </w:r>
      <w:r w:rsidRPr="00E458FA">
        <w:rPr>
          <w:rFonts w:eastAsia="Times New Roman" w:cs="Times New Roman"/>
          <w:szCs w:val="24"/>
        </w:rPr>
        <w:tab/>
      </w:r>
      <w:hyperlink r:id="rId12" w:history="1">
        <w:r w:rsidR="001A54B9" w:rsidRPr="00CB26FE">
          <w:rPr>
            <w:rStyle w:val="Hyperlink"/>
            <w:rFonts w:eastAsia="Times New Roman" w:cs="Times New Roman"/>
            <w:szCs w:val="24"/>
          </w:rPr>
          <w:t>consultation.he@bis.gsi.gov.uk</w:t>
        </w:r>
      </w:hyperlink>
      <w:r w:rsidR="001A54B9">
        <w:rPr>
          <w:rFonts w:eastAsia="Times New Roman" w:cs="Times New Roman"/>
          <w:szCs w:val="24"/>
        </w:rPr>
        <w:t xml:space="preserve"> </w:t>
      </w: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A84A27" w:rsidRDefault="00A84A27"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Please tick the box that best describes you as a respondent to this consultation. </w:t>
      </w:r>
    </w:p>
    <w:tbl>
      <w:tblPr>
        <w:tblW w:w="3791" w:type="pct"/>
        <w:tblInd w:w="294" w:type="dxa"/>
        <w:tblBorders>
          <w:top w:val="single" w:sz="8" w:space="0" w:color="00CCFF"/>
          <w:left w:val="single" w:sz="8" w:space="0" w:color="00CCFF"/>
          <w:bottom w:val="single" w:sz="8" w:space="0" w:color="00CCFF"/>
          <w:right w:val="single" w:sz="8" w:space="0" w:color="00CCFF"/>
          <w:insideH w:val="single" w:sz="8" w:space="0" w:color="00CCFF"/>
          <w:insideV w:val="single" w:sz="8" w:space="0" w:color="00CCFF"/>
        </w:tblBorders>
        <w:tblLayout w:type="fixed"/>
        <w:tblCellMar>
          <w:left w:w="0" w:type="dxa"/>
          <w:right w:w="0" w:type="dxa"/>
        </w:tblCellMar>
        <w:tblLook w:val="01E0" w:firstRow="1" w:lastRow="1" w:firstColumn="1" w:lastColumn="1" w:noHBand="0" w:noVBand="0"/>
      </w:tblPr>
      <w:tblGrid>
        <w:gridCol w:w="872"/>
        <w:gridCol w:w="5987"/>
      </w:tblGrid>
      <w:tr w:rsidR="00E458FA" w:rsidRPr="00E458FA" w:rsidTr="00D4469F">
        <w:trPr>
          <w:trHeight w:val="227"/>
        </w:trPr>
        <w:tc>
          <w:tcPr>
            <w:tcW w:w="636" w:type="pct"/>
            <w:shd w:val="clear" w:color="auto" w:fill="auto"/>
            <w:tcMar>
              <w:top w:w="113" w:type="dxa"/>
              <w:bottom w:w="113" w:type="dxa"/>
            </w:tcMar>
          </w:tcPr>
          <w:p w:rsidR="00E458FA" w:rsidRPr="00E458FA" w:rsidRDefault="00E458FA" w:rsidP="00E458FA">
            <w:pPr>
              <w:tabs>
                <w:tab w:val="left" w:pos="825"/>
              </w:tabs>
              <w:spacing w:after="0" w:line="240" w:lineRule="auto"/>
              <w:ind w:left="113" w:right="113"/>
              <w:rPr>
                <w:rFonts w:eastAsia="Times New Roman" w:cs="Times New Roman"/>
                <w:b/>
                <w:szCs w:val="24"/>
              </w:rPr>
            </w:pPr>
            <w:r w:rsidRPr="00E458FA">
              <w:rPr>
                <w:rFonts w:eastAsia="Times New Roman" w:cs="Times New Roman"/>
                <w:b/>
                <w:szCs w:val="24"/>
              </w:rPr>
              <w:tab/>
            </w: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Alternative higher education provider (with designated courses)</w:t>
            </w:r>
          </w:p>
        </w:tc>
      </w:tr>
      <w:tr w:rsidR="00E458FA" w:rsidRPr="00E458FA" w:rsidTr="00D4469F">
        <w:trPr>
          <w:trHeight w:val="227"/>
        </w:trPr>
        <w:tc>
          <w:tcPr>
            <w:tcW w:w="636" w:type="pct"/>
            <w:shd w:val="clear" w:color="auto" w:fill="auto"/>
            <w:tcMar>
              <w:top w:w="113" w:type="dxa"/>
              <w:bottom w:w="113" w:type="dxa"/>
            </w:tcMar>
          </w:tcPr>
          <w:p w:rsidR="00E458FA" w:rsidRPr="00E458FA" w:rsidRDefault="00E458FA" w:rsidP="00E458FA">
            <w:pPr>
              <w:tabs>
                <w:tab w:val="left" w:pos="825"/>
              </w:tabs>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Alternative higher education provider (no designated courses)</w:t>
            </w:r>
          </w:p>
        </w:tc>
      </w:tr>
      <w:tr w:rsidR="00E458FA" w:rsidRPr="00E458FA" w:rsidTr="00D4469F">
        <w:trPr>
          <w:trHeight w:val="227"/>
        </w:trPr>
        <w:tc>
          <w:tcPr>
            <w:tcW w:w="636" w:type="pct"/>
            <w:shd w:val="clear" w:color="auto" w:fill="auto"/>
            <w:tcMar>
              <w:top w:w="113" w:type="dxa"/>
              <w:bottom w:w="113" w:type="dxa"/>
            </w:tcMar>
          </w:tcPr>
          <w:p w:rsidR="00E458FA" w:rsidRPr="00E458FA" w:rsidRDefault="00E458FA" w:rsidP="00E458FA">
            <w:pPr>
              <w:tabs>
                <w:tab w:val="left" w:pos="825"/>
              </w:tabs>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Awarding organisation</w:t>
            </w:r>
          </w:p>
        </w:tc>
      </w:tr>
      <w:tr w:rsidR="00E458FA" w:rsidRPr="00E458FA" w:rsidTr="00D4469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Business/Employer</w:t>
            </w:r>
          </w:p>
        </w:tc>
      </w:tr>
      <w:tr w:rsidR="00E458FA" w:rsidRPr="00E458FA" w:rsidTr="00D4469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Central government</w:t>
            </w:r>
          </w:p>
        </w:tc>
      </w:tr>
      <w:tr w:rsidR="00E458FA" w:rsidRPr="00E458FA" w:rsidTr="00D4469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Charity or social enterprise</w:t>
            </w:r>
          </w:p>
        </w:tc>
      </w:tr>
      <w:tr w:rsidR="00E458FA" w:rsidRPr="00E458FA" w:rsidTr="00D4469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Further Education College</w:t>
            </w:r>
          </w:p>
        </w:tc>
      </w:tr>
      <w:tr w:rsidR="00E458FA" w:rsidRPr="00E458FA" w:rsidTr="00D4469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Higher Education Institution</w:t>
            </w:r>
          </w:p>
        </w:tc>
      </w:tr>
      <w:tr w:rsidR="00E458FA" w:rsidRPr="00E458FA" w:rsidTr="00D4469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Individual (Please describe any particular relevant interest; parent, student, teaching staff etc.)</w:t>
            </w:r>
          </w:p>
        </w:tc>
      </w:tr>
      <w:tr w:rsidR="00E458FA" w:rsidRPr="00E458FA" w:rsidTr="00D4469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Legal representative</w:t>
            </w:r>
          </w:p>
        </w:tc>
      </w:tr>
      <w:tr w:rsidR="00E458FA" w:rsidRPr="00E458FA" w:rsidTr="00D4469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Local Government</w:t>
            </w:r>
          </w:p>
        </w:tc>
      </w:tr>
      <w:tr w:rsidR="00E458FA" w:rsidRPr="00E458FA" w:rsidTr="00D4469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Professional Body</w:t>
            </w:r>
          </w:p>
        </w:tc>
      </w:tr>
      <w:tr w:rsidR="00E458FA" w:rsidRPr="00E458FA" w:rsidTr="00D4469F">
        <w:trPr>
          <w:trHeight w:val="227"/>
        </w:trPr>
        <w:tc>
          <w:tcPr>
            <w:tcW w:w="636" w:type="pct"/>
            <w:shd w:val="clear" w:color="auto" w:fill="auto"/>
            <w:tcMar>
              <w:top w:w="113" w:type="dxa"/>
              <w:bottom w:w="113" w:type="dxa"/>
            </w:tcMar>
          </w:tcPr>
          <w:p w:rsidR="00E458FA" w:rsidRPr="00E458FA" w:rsidRDefault="00C85605" w:rsidP="00E458FA">
            <w:pPr>
              <w:spacing w:after="0" w:line="240" w:lineRule="auto"/>
              <w:ind w:left="113" w:right="113"/>
              <w:rPr>
                <w:rFonts w:eastAsia="Times New Roman" w:cs="Times New Roman"/>
                <w:b/>
                <w:szCs w:val="24"/>
              </w:rPr>
            </w:pPr>
            <w:r>
              <w:rPr>
                <w:rFonts w:eastAsia="Times New Roman" w:cs="Times New Roman"/>
                <w:b/>
                <w:szCs w:val="24"/>
              </w:rPr>
              <w:lastRenderedPageBreak/>
              <w:t>x</w:t>
            </w: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Representative Body</w:t>
            </w:r>
          </w:p>
        </w:tc>
      </w:tr>
      <w:tr w:rsidR="00E458FA" w:rsidRPr="00E458FA" w:rsidTr="00D4469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Research Council</w:t>
            </w:r>
          </w:p>
        </w:tc>
      </w:tr>
      <w:tr w:rsidR="00E458FA" w:rsidRPr="00E458FA" w:rsidTr="00D4469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Trade union or staff association</w:t>
            </w:r>
          </w:p>
        </w:tc>
      </w:tr>
      <w:tr w:rsidR="00E458FA" w:rsidRPr="00E458FA" w:rsidTr="00D4469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Other (please describe)</w:t>
            </w:r>
          </w:p>
        </w:tc>
      </w:tr>
    </w:tbl>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2" w:name="_Toc434412496"/>
      <w:bookmarkStart w:id="3" w:name="_Toc222902184"/>
      <w:bookmarkStart w:id="4" w:name="_Toc337743655"/>
      <w:bookmarkStart w:id="5" w:name="_Toc426987235"/>
      <w:r w:rsidRPr="00E458FA">
        <w:rPr>
          <w:rFonts w:eastAsia="Times New Roman" w:cs="Times New Roman"/>
          <w:b/>
          <w:bCs/>
          <w:color w:val="009BBB"/>
          <w:sz w:val="26"/>
          <w:szCs w:val="26"/>
        </w:rPr>
        <w:t>Public sector equality duty</w:t>
      </w:r>
      <w:bookmarkEnd w:id="2"/>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Question 1</w:t>
      </w:r>
      <w:bookmarkEnd w:id="3"/>
      <w:bookmarkEnd w:id="4"/>
      <w:bookmarkEnd w:id="5"/>
      <w:r w:rsidRPr="00E458FA">
        <w:rPr>
          <w:rFonts w:eastAsia="Times New Roman" w:cs="Times New Roman"/>
          <w:szCs w:val="24"/>
        </w:rPr>
        <w:t>:</w:t>
      </w:r>
    </w:p>
    <w:p w:rsidR="00E458FA" w:rsidRPr="00E458FA" w:rsidRDefault="00E458FA" w:rsidP="00E458FA">
      <w:pPr>
        <w:numPr>
          <w:ilvl w:val="0"/>
          <w:numId w:val="19"/>
        </w:numPr>
        <w:tabs>
          <w:tab w:val="left" w:pos="567"/>
        </w:tabs>
        <w:spacing w:after="288" w:line="240" w:lineRule="auto"/>
        <w:ind w:right="11"/>
        <w:rPr>
          <w:rFonts w:eastAsia="Times New Roman" w:cs="Arial"/>
          <w:szCs w:val="24"/>
        </w:rPr>
      </w:pPr>
      <w:r w:rsidRPr="00E458FA">
        <w:rPr>
          <w:rFonts w:eastAsia="Times New Roman" w:cs="Arial"/>
          <w:szCs w:val="24"/>
        </w:rPr>
        <w:t>What are your views on the potential equality impacts of the proposals and other plans in this consultation?</w:t>
      </w:r>
      <w:r w:rsidRPr="00E458FA">
        <w:rPr>
          <w:rFonts w:eastAsia="Times New Roman" w:cs="Arial"/>
          <w:szCs w:val="24"/>
        </w:rPr>
        <w:br/>
      </w:r>
      <w:r w:rsidRPr="00E458FA">
        <w:rPr>
          <w:rFonts w:eastAsia="Times New Roman" w:cs="Arial"/>
          <w:szCs w:val="24"/>
        </w:rPr>
        <w:br/>
      </w:r>
      <w:r w:rsidRPr="00E458FA">
        <w:rPr>
          <w:rFonts w:eastAsia="Times New Roman" w:cs="Arial"/>
          <w:szCs w:val="24"/>
        </w:rPr>
        <w:br/>
      </w:r>
      <w:r w:rsidRPr="00E458FA">
        <w:rPr>
          <w:rFonts w:eastAsia="Times New Roman" w:cs="Arial"/>
          <w:szCs w:val="24"/>
        </w:rPr>
        <w:br/>
      </w:r>
    </w:p>
    <w:p w:rsidR="00E458FA" w:rsidRPr="00E458FA" w:rsidRDefault="00E458FA" w:rsidP="00E458FA">
      <w:pPr>
        <w:numPr>
          <w:ilvl w:val="0"/>
          <w:numId w:val="19"/>
        </w:numPr>
        <w:tabs>
          <w:tab w:val="left" w:pos="567"/>
        </w:tabs>
        <w:spacing w:after="288" w:line="240" w:lineRule="auto"/>
        <w:ind w:right="11"/>
        <w:rPr>
          <w:rFonts w:eastAsia="Times New Roman" w:cs="Arial"/>
          <w:szCs w:val="24"/>
        </w:rPr>
      </w:pPr>
      <w:r w:rsidRPr="00E458FA">
        <w:rPr>
          <w:rFonts w:eastAsia="Times New Roman" w:cs="Arial"/>
          <w:szCs w:val="24"/>
        </w:rPr>
        <w:t xml:space="preserve">Are there any equality impacts that we have not considered?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658907539"/>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51065047"/>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437714743"/>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provide any further relevant evidence.</w:t>
      </w:r>
    </w:p>
    <w:p w:rsidR="00E458FA" w:rsidRPr="00E458FA" w:rsidRDefault="00E458FA" w:rsidP="00E458FA">
      <w:pPr>
        <w:tabs>
          <w:tab w:val="left" w:pos="567"/>
        </w:tabs>
        <w:spacing w:after="288" w:line="240" w:lineRule="auto"/>
        <w:ind w:left="142" w:right="11"/>
        <w:rPr>
          <w:rFonts w:eastAsia="Times New Roman" w:cs="Arial"/>
          <w:b/>
          <w:i/>
          <w:color w:val="4F81BD" w:themeColor="accent1"/>
          <w:szCs w:val="24"/>
        </w:rPr>
      </w:pPr>
    </w:p>
    <w:p w:rsidR="00E458FA" w:rsidRPr="00E458FA" w:rsidRDefault="00E458FA" w:rsidP="00E458FA">
      <w:pPr>
        <w:spacing w:after="288" w:line="240" w:lineRule="auto"/>
        <w:ind w:left="142"/>
        <w:rPr>
          <w:rFonts w:eastAsiaTheme="majorEastAsia" w:cs="Times New Roman"/>
          <w:szCs w:val="24"/>
        </w:rPr>
      </w:pPr>
      <w:bookmarkStart w:id="6" w:name="_Toc222902185"/>
      <w:bookmarkStart w:id="7" w:name="_Toc337743656"/>
      <w:bookmarkStart w:id="8" w:name="_Toc426987236"/>
    </w:p>
    <w:p w:rsidR="00E458FA" w:rsidRPr="00E458FA" w:rsidRDefault="00E458FA" w:rsidP="00E458FA">
      <w:pPr>
        <w:spacing w:after="288" w:line="240" w:lineRule="auto"/>
        <w:ind w:left="142"/>
        <w:rPr>
          <w:rFonts w:eastAsiaTheme="majorEastAsia" w:cs="Times New Roman"/>
          <w:szCs w:val="24"/>
        </w:rPr>
      </w:pPr>
    </w:p>
    <w:p w:rsidR="00E458FA" w:rsidRPr="00E458FA" w:rsidRDefault="00E458FA" w:rsidP="00E458FA">
      <w:pPr>
        <w:keepNext/>
        <w:spacing w:after="120" w:line="240" w:lineRule="auto"/>
        <w:outlineLvl w:val="2"/>
        <w:rPr>
          <w:rFonts w:eastAsia="Times New Roman" w:cs="Times New Roman"/>
          <w:b/>
          <w:bCs/>
          <w:color w:val="009BBB"/>
          <w:sz w:val="26"/>
          <w:szCs w:val="26"/>
        </w:rPr>
      </w:pPr>
      <w:bookmarkStart w:id="9" w:name="_Toc434412497"/>
      <w:r w:rsidRPr="00E458FA">
        <w:rPr>
          <w:rFonts w:eastAsia="Times New Roman" w:cs="Times New Roman"/>
          <w:b/>
          <w:bCs/>
          <w:color w:val="009BBB"/>
          <w:sz w:val="26"/>
          <w:szCs w:val="26"/>
        </w:rPr>
        <w:t>Teaching Excellence Framework (TEF) (Part A: Chapters 1-3)</w:t>
      </w:r>
      <w:bookmarkEnd w:id="9"/>
    </w:p>
    <w:bookmarkEnd w:id="6"/>
    <w:bookmarkEnd w:id="7"/>
    <w:bookmarkEnd w:id="8"/>
    <w:p w:rsid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Question 2: How can information from the TEF </w:t>
      </w:r>
      <w:proofErr w:type="gramStart"/>
      <w:r w:rsidRPr="00E458FA">
        <w:rPr>
          <w:rFonts w:eastAsia="Times New Roman" w:cs="Times New Roman"/>
          <w:szCs w:val="24"/>
        </w:rPr>
        <w:t>be</w:t>
      </w:r>
      <w:proofErr w:type="gramEnd"/>
      <w:r w:rsidRPr="00E458FA">
        <w:rPr>
          <w:rFonts w:eastAsia="Times New Roman" w:cs="Times New Roman"/>
          <w:szCs w:val="24"/>
        </w:rPr>
        <w:t xml:space="preserve"> used to better inform student and employer decision making? Please quantify these benefits as far as you can.</w:t>
      </w:r>
    </w:p>
    <w:p w:rsidR="00F13D31" w:rsidRDefault="00F13D31" w:rsidP="00E458FA">
      <w:pPr>
        <w:spacing w:after="288" w:line="240" w:lineRule="auto"/>
        <w:ind w:left="142"/>
        <w:rPr>
          <w:rFonts w:eastAsia="Times New Roman" w:cs="Times New Roman"/>
          <w:szCs w:val="24"/>
        </w:rPr>
      </w:pPr>
    </w:p>
    <w:p w:rsidR="00AC2271" w:rsidRDefault="00F13D31" w:rsidP="00E458FA">
      <w:pPr>
        <w:spacing w:after="288" w:line="240" w:lineRule="auto"/>
        <w:ind w:left="142"/>
        <w:rPr>
          <w:rFonts w:eastAsia="Times New Roman" w:cs="Times New Roman"/>
          <w:szCs w:val="24"/>
        </w:rPr>
      </w:pPr>
      <w:r>
        <w:rPr>
          <w:rFonts w:eastAsia="Times New Roman" w:cs="Times New Roman"/>
          <w:szCs w:val="24"/>
        </w:rPr>
        <w:t xml:space="preserve">In general we support efforts to raise teaching standards and improve student access to information about teaching, consonant with other recent government policy initiatives – e.g. NSS, KIS – and we would favour requirements for HEIs to be more open and reflexive about their teaching plans and provisions as a further step in this direction.   But this does not in our view require a new </w:t>
      </w:r>
      <w:r>
        <w:rPr>
          <w:rFonts w:eastAsia="Times New Roman" w:cs="Times New Roman"/>
          <w:szCs w:val="24"/>
          <w:u w:val="single"/>
        </w:rPr>
        <w:t>regulatory</w:t>
      </w:r>
      <w:r>
        <w:rPr>
          <w:rFonts w:eastAsia="Times New Roman" w:cs="Times New Roman"/>
          <w:szCs w:val="24"/>
        </w:rPr>
        <w:t xml:space="preserve"> structure such as the TEF proposed here, which seems to us likely either to require a burdensome peer-review process like the REF (but with a far more difficult evaluative task) or a resort to metrics which do not in fact measure teaching and learning at all but </w:t>
      </w:r>
      <w:r w:rsidR="00AC2271">
        <w:rPr>
          <w:rFonts w:eastAsia="Times New Roman" w:cs="Times New Roman"/>
          <w:szCs w:val="24"/>
        </w:rPr>
        <w:t xml:space="preserve">other things (social selection, social and cultural capital, workplace experience, subject choice, career choice, etc.).  Experience of the REF and other regulatory structures suggests to us, too, that universities have already </w:t>
      </w:r>
      <w:r w:rsidR="00AC2271">
        <w:rPr>
          <w:rFonts w:eastAsia="Times New Roman" w:cs="Times New Roman"/>
          <w:szCs w:val="24"/>
        </w:rPr>
        <w:lastRenderedPageBreak/>
        <w:t xml:space="preserve">shifted under regulatory pressures too far from intellectual and pedagogical justifications for teaching and research towards justifications based purely on regulatory metrics.  The indicator, which is simple and transparent, substitutes </w:t>
      </w:r>
      <w:r w:rsidR="00062321">
        <w:rPr>
          <w:rFonts w:eastAsia="Times New Roman" w:cs="Times New Roman"/>
          <w:szCs w:val="24"/>
        </w:rPr>
        <w:t>f</w:t>
      </w:r>
      <w:r w:rsidR="00AC2271">
        <w:rPr>
          <w:rFonts w:eastAsia="Times New Roman" w:cs="Times New Roman"/>
          <w:szCs w:val="24"/>
        </w:rPr>
        <w:t>or good practice, which is complex, cultural and hard to measure.  Thus there is a danger that the TEF, while seeking to re-balance an alleged over-emphasis on research, will simply extend damaging and</w:t>
      </w:r>
      <w:r w:rsidR="004D1E32">
        <w:rPr>
          <w:rFonts w:eastAsia="Times New Roman" w:cs="Times New Roman"/>
          <w:szCs w:val="24"/>
        </w:rPr>
        <w:t>/or</w:t>
      </w:r>
      <w:r w:rsidR="00AC2271">
        <w:rPr>
          <w:rFonts w:eastAsia="Times New Roman" w:cs="Times New Roman"/>
          <w:szCs w:val="24"/>
        </w:rPr>
        <w:t xml:space="preserve"> burdensome practices from research to teaching.  It will take a lot of care and subtlety to avert this outcome.</w:t>
      </w:r>
    </w:p>
    <w:p w:rsidR="00F64A09" w:rsidRPr="00F64A09" w:rsidRDefault="00C85605" w:rsidP="004A7AF9">
      <w:pPr>
        <w:tabs>
          <w:tab w:val="left" w:pos="567"/>
        </w:tabs>
        <w:spacing w:after="288" w:line="240" w:lineRule="auto"/>
        <w:ind w:left="142" w:right="11"/>
      </w:pPr>
      <w:r>
        <w:rPr>
          <w:rFonts w:eastAsia="Times New Roman" w:cs="Arial"/>
          <w:szCs w:val="24"/>
        </w:rPr>
        <w:t xml:space="preserve">Any assessment of teaching must carefully distinguish – and it is not clear that </w:t>
      </w:r>
      <w:r>
        <w:rPr>
          <w:rFonts w:eastAsia="Times New Roman" w:cs="Arial"/>
          <w:szCs w:val="24"/>
          <w:u w:val="single"/>
        </w:rPr>
        <w:t>any</w:t>
      </w:r>
      <w:r>
        <w:rPr>
          <w:rFonts w:eastAsia="Times New Roman" w:cs="Arial"/>
          <w:szCs w:val="24"/>
        </w:rPr>
        <w:t xml:space="preserve"> metric can successfully achieve this – between the characteristics of the student body, the different methods and goals of teaching in different disciplines, </w:t>
      </w:r>
      <w:r w:rsidR="004A7AF9">
        <w:rPr>
          <w:rFonts w:eastAsia="Times New Roman" w:cs="Arial"/>
          <w:szCs w:val="24"/>
        </w:rPr>
        <w:t xml:space="preserve">and different outcomes of teaching (for edification, self-improvement, and value at different stages of the life-course, as well as employment).   </w:t>
      </w:r>
      <w:r w:rsidR="00F64A09">
        <w:rPr>
          <w:rFonts w:eastAsia="Times New Roman" w:cs="Arial"/>
          <w:szCs w:val="24"/>
        </w:rPr>
        <w:t xml:space="preserve">For example, recent studies have suggested that students regard higher education as a consumption good as much as an investment good (see e.g. </w:t>
      </w:r>
      <w:proofErr w:type="spellStart"/>
      <w:r w:rsidR="00F64A09">
        <w:rPr>
          <w:rFonts w:eastAsia="Times New Roman" w:cs="Arial"/>
          <w:szCs w:val="24"/>
        </w:rPr>
        <w:t>Beffy</w:t>
      </w:r>
      <w:proofErr w:type="spellEnd"/>
      <w:r w:rsidR="00F64A09">
        <w:rPr>
          <w:rFonts w:eastAsia="Times New Roman" w:cs="Arial"/>
          <w:szCs w:val="24"/>
        </w:rPr>
        <w:t xml:space="preserve"> et al., Review of Economics and Statistics, 2012;  Walker &amp; Zhu, BIS Research Paper 112, 2013;  Finnie, </w:t>
      </w:r>
      <w:r w:rsidR="00F64A09" w:rsidRPr="00F64A09">
        <w:rPr>
          <w:rFonts w:eastAsia="Times New Roman" w:cs="Arial"/>
          <w:szCs w:val="24"/>
        </w:rPr>
        <w:t>Higher Education Management and Policy</w:t>
      </w:r>
      <w:r w:rsidR="00F64A09">
        <w:rPr>
          <w:rFonts w:eastAsia="Times New Roman" w:cs="Arial"/>
          <w:szCs w:val="24"/>
        </w:rPr>
        <w:t xml:space="preserve">, 2014;  and the methodological critique offered by </w:t>
      </w:r>
      <w:r w:rsidR="00F64A09">
        <w:t>Ben Schmidt, ‘</w:t>
      </w:r>
      <w:r w:rsidR="00F64A09" w:rsidRPr="00EC174A">
        <w:t>Mind the Gap:  Incomes, College Major</w:t>
      </w:r>
      <w:r w:rsidR="00F64A09">
        <w:t xml:space="preserve">s, Gender, and Higher Ed Reform’, </w:t>
      </w:r>
      <w:hyperlink r:id="rId13" w:history="1">
        <w:r w:rsidR="00F64A09" w:rsidRPr="00E4443E">
          <w:rPr>
            <w:rStyle w:val="Hyperlink"/>
          </w:rPr>
          <w:t>http://sappingattention.blogspot.co.uk/</w:t>
        </w:r>
      </w:hyperlink>
      <w:r w:rsidR="00F64A09">
        <w:rPr>
          <w:rStyle w:val="Hyperlink"/>
        </w:rPr>
        <w:t>)</w:t>
      </w:r>
      <w:r w:rsidR="00F64A09">
        <w:t>.   The usefulness of the TEF to student decision-making will therefore inevitably depend on a very sophisticated understanding of student decision-making</w:t>
      </w:r>
      <w:r w:rsidR="004D1E32">
        <w:t>, aspiration and achievement</w:t>
      </w:r>
      <w:r w:rsidR="00820F30">
        <w:t>, not an easy or as yet well-developed subject.</w:t>
      </w:r>
    </w:p>
    <w:p w:rsidR="004A7AF9" w:rsidRDefault="004A7AF9" w:rsidP="004A7AF9">
      <w:pPr>
        <w:tabs>
          <w:tab w:val="left" w:pos="567"/>
        </w:tabs>
        <w:spacing w:after="288" w:line="240" w:lineRule="auto"/>
        <w:ind w:left="142" w:right="11"/>
        <w:rPr>
          <w:rFonts w:eastAsia="Times New Roman" w:cs="Arial"/>
          <w:szCs w:val="24"/>
        </w:rPr>
      </w:pPr>
      <w:r>
        <w:rPr>
          <w:rFonts w:eastAsia="Times New Roman" w:cs="Arial"/>
          <w:szCs w:val="24"/>
        </w:rPr>
        <w:t>Particularly problematic is the relationship between education and employment.  Even controlling for background and prior attainment, the evidence is that employ</w:t>
      </w:r>
      <w:r w:rsidR="004D1E32">
        <w:rPr>
          <w:rFonts w:eastAsia="Times New Roman" w:cs="Arial"/>
          <w:szCs w:val="24"/>
        </w:rPr>
        <w:t>ment and income in employment are</w:t>
      </w:r>
      <w:r>
        <w:rPr>
          <w:rFonts w:eastAsia="Times New Roman" w:cs="Arial"/>
          <w:szCs w:val="24"/>
        </w:rPr>
        <w:t xml:space="preserve"> only very loosely and complexly related to teaching (see for example Liu and </w:t>
      </w:r>
      <w:proofErr w:type="spellStart"/>
      <w:r>
        <w:rPr>
          <w:rFonts w:eastAsia="Times New Roman" w:cs="Arial"/>
          <w:szCs w:val="24"/>
        </w:rPr>
        <w:t>Grusky</w:t>
      </w:r>
      <w:proofErr w:type="spellEnd"/>
      <w:r>
        <w:rPr>
          <w:rFonts w:eastAsia="Times New Roman" w:cs="Arial"/>
          <w:szCs w:val="24"/>
        </w:rPr>
        <w:t xml:space="preserve">, American Journal of Sociology 2013:   ‘[differentials in income are increasingly] </w:t>
      </w:r>
      <w:r w:rsidRPr="004A7AF9">
        <w:rPr>
          <w:rFonts w:eastAsia="Times New Roman" w:cs="Arial"/>
          <w:szCs w:val="24"/>
        </w:rPr>
        <w:t>a consequence of changing returns to workplace skills rather than, as is typically supposed, changing returns to skills learned or selected for in school</w:t>
      </w:r>
      <w:r>
        <w:rPr>
          <w:rFonts w:eastAsia="Times New Roman" w:cs="Arial"/>
          <w:szCs w:val="24"/>
        </w:rPr>
        <w:t>’).</w:t>
      </w:r>
    </w:p>
    <w:p w:rsidR="004A7AF9" w:rsidRDefault="004A7AF9" w:rsidP="004A7AF9">
      <w:pPr>
        <w:tabs>
          <w:tab w:val="left" w:pos="567"/>
        </w:tabs>
        <w:spacing w:after="288" w:line="240" w:lineRule="auto"/>
        <w:ind w:left="142" w:right="11"/>
        <w:rPr>
          <w:rFonts w:eastAsia="Times New Roman" w:cs="Arial"/>
          <w:szCs w:val="24"/>
        </w:rPr>
      </w:pPr>
      <w:r>
        <w:rPr>
          <w:rFonts w:eastAsia="Times New Roman" w:cs="Arial"/>
          <w:szCs w:val="24"/>
        </w:rPr>
        <w:t xml:space="preserve">We strongly believe therefore that to be useful to students and employers (and parents and citizens and regulators) the TEF must seek to assess teaching quality in ways that properly capture all the functions of education - pedagogical, intellectual, affective, cultural, social and economic.   This will require due attention to </w:t>
      </w:r>
      <w:r w:rsidR="00820F30">
        <w:rPr>
          <w:rFonts w:eastAsia="Times New Roman" w:cs="Arial"/>
          <w:szCs w:val="24"/>
        </w:rPr>
        <w:t xml:space="preserve">fathoming (and accepting rather than seeking to engineer) student decision-making, assessment of </w:t>
      </w:r>
      <w:r>
        <w:rPr>
          <w:rFonts w:eastAsia="Times New Roman" w:cs="Arial"/>
          <w:szCs w:val="24"/>
        </w:rPr>
        <w:t xml:space="preserve">patterns of learning as well as teaching, discipline-specific </w:t>
      </w:r>
      <w:r w:rsidR="004E4A3D">
        <w:rPr>
          <w:rFonts w:eastAsia="Times New Roman" w:cs="Arial"/>
          <w:szCs w:val="24"/>
        </w:rPr>
        <w:t xml:space="preserve">methods and goals, </w:t>
      </w:r>
      <w:r w:rsidR="00820F30">
        <w:rPr>
          <w:rFonts w:eastAsia="Times New Roman" w:cs="Arial"/>
          <w:szCs w:val="24"/>
        </w:rPr>
        <w:t xml:space="preserve">and </w:t>
      </w:r>
      <w:r w:rsidR="004E4A3D">
        <w:rPr>
          <w:rFonts w:eastAsia="Times New Roman" w:cs="Arial"/>
          <w:szCs w:val="24"/>
        </w:rPr>
        <w:t xml:space="preserve">the close connection between teaching and research that remains a distinctive feature of </w:t>
      </w:r>
      <w:r w:rsidR="00820F30">
        <w:rPr>
          <w:rFonts w:eastAsia="Times New Roman" w:cs="Arial"/>
          <w:szCs w:val="24"/>
        </w:rPr>
        <w:t>the UK HEI system at all levels.  It seems likely that these aims can only be accomplished by means of</w:t>
      </w:r>
      <w:r w:rsidR="004E4A3D">
        <w:rPr>
          <w:rFonts w:eastAsia="Times New Roman" w:cs="Arial"/>
          <w:szCs w:val="24"/>
        </w:rPr>
        <w:t xml:space="preserve"> narrative- rather than metrics-based assessment, and </w:t>
      </w:r>
      <w:r w:rsidR="00820F30">
        <w:rPr>
          <w:rFonts w:eastAsia="Times New Roman" w:cs="Arial"/>
          <w:szCs w:val="24"/>
        </w:rPr>
        <w:t xml:space="preserve">forms of </w:t>
      </w:r>
      <w:r w:rsidR="004E4A3D">
        <w:rPr>
          <w:rFonts w:eastAsia="Times New Roman" w:cs="Arial"/>
          <w:szCs w:val="24"/>
        </w:rPr>
        <w:t>peer review comparable to those currently employed in the REF.</w:t>
      </w:r>
      <w:r>
        <w:rPr>
          <w:rFonts w:eastAsia="Times New Roman" w:cs="Arial"/>
          <w:szCs w:val="24"/>
        </w:rPr>
        <w:t xml:space="preserve"> </w:t>
      </w:r>
    </w:p>
    <w:p w:rsidR="004A7AF9" w:rsidRPr="00C85605" w:rsidRDefault="004A7AF9" w:rsidP="004A7AF9">
      <w:pPr>
        <w:tabs>
          <w:tab w:val="left" w:pos="567"/>
        </w:tabs>
        <w:spacing w:after="288" w:line="240" w:lineRule="auto"/>
        <w:ind w:left="142" w:right="11"/>
        <w:rPr>
          <w:rFonts w:eastAsia="Times New Roman" w:cs="Arial"/>
          <w:szCs w:val="24"/>
        </w:rPr>
      </w:pPr>
      <w:r w:rsidRPr="004A7AF9">
        <w:rPr>
          <w:rFonts w:eastAsia="Times New Roman" w:cs="Arial"/>
          <w:szCs w:val="24"/>
        </w:rPr>
        <w:t xml:space="preserve">  </w:t>
      </w:r>
    </w:p>
    <w:p w:rsidR="00E458FA" w:rsidRPr="00E458FA" w:rsidRDefault="00E458FA" w:rsidP="00E458FA">
      <w:pPr>
        <w:tabs>
          <w:tab w:val="left" w:pos="567"/>
        </w:tabs>
        <w:spacing w:after="288" w:line="240" w:lineRule="auto"/>
        <w:ind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lastRenderedPageBreak/>
        <w:t xml:space="preserve">Question 3: Do you agree that the ambition for TEF should be that it is open to all HE </w:t>
      </w:r>
      <w:r w:rsidRPr="00E458FA">
        <w:rPr>
          <w:rFonts w:eastAsia="Times New Roman" w:cs="Times New Roman"/>
          <w:szCs w:val="24"/>
        </w:rPr>
        <w:t>providers, all disciplines,</w:t>
      </w:r>
      <w:r w:rsidRPr="00E458FA">
        <w:rPr>
          <w:rFonts w:eastAsia="Times New Roman" w:cs="Arial"/>
          <w:szCs w:val="24"/>
        </w:rPr>
        <w:t xml:space="preserve"> all modes of delivery and all levels?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229299826"/>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51485986"/>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03392076"/>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answers.</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Question 4: Where relevant, should an approved Access Agreement be a pre-requisite for a TEF award? What other mechanism might be used for different types of providers?</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spacing w:after="288" w:line="240" w:lineRule="auto"/>
        <w:ind w:left="142"/>
        <w:rPr>
          <w:rFonts w:eastAsia="Times New Roman" w:cs="Arial"/>
          <w:szCs w:val="24"/>
        </w:rPr>
      </w:pPr>
      <w:r w:rsidRPr="00E458FA">
        <w:rPr>
          <w:rFonts w:eastAsia="Times New Roman" w:cs="Arial"/>
          <w:szCs w:val="24"/>
        </w:rPr>
        <w:t>Question 5: Do you agree with the proposals on:</w:t>
      </w:r>
    </w:p>
    <w:p w:rsidR="00E458FA" w:rsidRPr="00E458FA" w:rsidRDefault="00E458FA" w:rsidP="00E458FA">
      <w:pPr>
        <w:numPr>
          <w:ilvl w:val="0"/>
          <w:numId w:val="18"/>
        </w:numPr>
        <w:tabs>
          <w:tab w:val="left" w:pos="567"/>
        </w:tabs>
        <w:spacing w:after="288" w:line="240" w:lineRule="auto"/>
        <w:ind w:right="11"/>
        <w:rPr>
          <w:rFonts w:eastAsia="Times New Roman" w:cs="Times New Roman"/>
          <w:bCs/>
          <w:iCs/>
          <w:szCs w:val="24"/>
        </w:rPr>
      </w:pPr>
      <w:r w:rsidRPr="00E458FA">
        <w:rPr>
          <w:rFonts w:eastAsia="Times New Roman" w:cs="Arial"/>
          <w:szCs w:val="24"/>
        </w:rPr>
        <w:t>what would constitute a ‘successful’ QA review</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950312694"/>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381915664"/>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899519437"/>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numPr>
          <w:ilvl w:val="0"/>
          <w:numId w:val="18"/>
        </w:numPr>
        <w:tabs>
          <w:tab w:val="left" w:pos="567"/>
        </w:tabs>
        <w:spacing w:after="288" w:line="240" w:lineRule="auto"/>
        <w:ind w:right="11"/>
        <w:rPr>
          <w:rFonts w:eastAsia="Times New Roman" w:cs="Times New Roman"/>
          <w:bCs/>
          <w:iCs/>
          <w:szCs w:val="24"/>
        </w:rPr>
      </w:pPr>
      <w:r w:rsidRPr="00E458FA">
        <w:rPr>
          <w:rFonts w:eastAsia="Times New Roman" w:cs="Arial"/>
          <w:szCs w:val="24"/>
        </w:rPr>
        <w:t xml:space="preserve"> the incentives that should be open to alternative providers for the first year of the TEF</w:t>
      </w:r>
      <w:r w:rsidRPr="00E458FA">
        <w:rPr>
          <w:rFonts w:eastAsia="Times New Roman" w:cs="Times New Roman"/>
          <w:szCs w:val="24"/>
        </w:rPr>
        <w:t xml:space="preserve">  </w:t>
      </w:r>
    </w:p>
    <w:p w:rsidR="00E458FA" w:rsidRPr="00E458FA" w:rsidRDefault="00E458FA" w:rsidP="00E458FA">
      <w:pPr>
        <w:tabs>
          <w:tab w:val="left" w:pos="567"/>
        </w:tabs>
        <w:ind w:left="142" w:right="11"/>
        <w:rPr>
          <w:rFonts w:eastAsia="Times New Roman" w:cs="Times New Roman"/>
          <w:bCs/>
          <w:iCs/>
          <w:szCs w:val="24"/>
        </w:rPr>
      </w:pPr>
      <w:r w:rsidRPr="00E458FA">
        <w:rPr>
          <w:rFonts w:eastAsia="Times New Roman" w:cs="Times New Roman"/>
          <w:szCs w:val="24"/>
        </w:rPr>
        <w:t xml:space="preserve">      </w:t>
      </w:r>
      <w:sdt>
        <w:sdtPr>
          <w:rPr>
            <w:rFonts w:ascii="MS Gothic" w:eastAsia="MS Gothic" w:hAnsi="MS Gothic" w:cs="Times New Roman"/>
            <w:szCs w:val="24"/>
          </w:rPr>
          <w:id w:val="-1967105991"/>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926498302"/>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792709897"/>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numPr>
          <w:ilvl w:val="0"/>
          <w:numId w:val="18"/>
        </w:numPr>
        <w:tabs>
          <w:tab w:val="left" w:pos="567"/>
        </w:tabs>
        <w:spacing w:after="288" w:line="240" w:lineRule="auto"/>
        <w:ind w:right="11"/>
        <w:rPr>
          <w:rFonts w:eastAsia="Times New Roman" w:cs="Times New Roman"/>
          <w:bCs/>
          <w:iCs/>
          <w:szCs w:val="24"/>
        </w:rPr>
      </w:pPr>
      <w:proofErr w:type="gramStart"/>
      <w:r w:rsidRPr="00E458FA">
        <w:rPr>
          <w:rFonts w:eastAsia="Times New Roman" w:cs="Arial"/>
          <w:szCs w:val="24"/>
        </w:rPr>
        <w:t>the</w:t>
      </w:r>
      <w:proofErr w:type="gramEnd"/>
      <w:r w:rsidRPr="00E458FA">
        <w:rPr>
          <w:rFonts w:eastAsia="Times New Roman" w:cs="Arial"/>
          <w:szCs w:val="24"/>
        </w:rPr>
        <w:t xml:space="preserve"> proposal to move to differentiated levels of TEF from year two?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ascii="MS Gothic" w:eastAsia="MS Gothic" w:hAnsi="MS Gothic" w:cs="Times New Roman"/>
          <w:szCs w:val="24"/>
        </w:rPr>
        <w:tab/>
      </w:r>
      <w:sdt>
        <w:sdtPr>
          <w:rPr>
            <w:rFonts w:ascii="MS Gothic" w:eastAsia="MS Gothic" w:hAnsi="MS Gothic" w:cs="Times New Roman"/>
            <w:szCs w:val="24"/>
          </w:rPr>
          <w:id w:val="1154875093"/>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905143387"/>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009889"/>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Please give reasons for your answer.  </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bCs/>
          <w:szCs w:val="24"/>
        </w:rPr>
      </w:pPr>
      <w:r w:rsidRPr="00E458FA">
        <w:rPr>
          <w:rFonts w:eastAsia="Times New Roman" w:cs="Arial"/>
          <w:bCs/>
          <w:szCs w:val="24"/>
        </w:rPr>
        <w:t xml:space="preserve">Question 6: Do you agree with the proposed approach to TEF assessments on </w:t>
      </w:r>
    </w:p>
    <w:p w:rsidR="00E458FA" w:rsidRPr="00E458FA" w:rsidRDefault="00E458FA" w:rsidP="00E458FA">
      <w:pPr>
        <w:tabs>
          <w:tab w:val="left" w:pos="567"/>
        </w:tabs>
        <w:spacing w:after="288" w:line="240" w:lineRule="auto"/>
        <w:ind w:left="142" w:right="11"/>
        <w:rPr>
          <w:rFonts w:eastAsia="Times New Roman" w:cs="Arial"/>
          <w:bCs/>
          <w:szCs w:val="24"/>
        </w:rPr>
      </w:pPr>
      <w:proofErr w:type="gramStart"/>
      <w:r w:rsidRPr="00E458FA">
        <w:rPr>
          <w:rFonts w:eastAsia="Times New Roman" w:cs="Arial"/>
          <w:bCs/>
          <w:szCs w:val="24"/>
        </w:rPr>
        <w:t>Timing?</w:t>
      </w:r>
      <w:proofErr w:type="gramEnd"/>
      <w:r w:rsidRPr="00E458FA">
        <w:rPr>
          <w:rFonts w:eastAsia="Times New Roman" w:cs="Arial"/>
          <w:bCs/>
          <w:szCs w:val="24"/>
        </w:rPr>
        <w:t xml:space="preserve">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886334337"/>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6156794"/>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346070134"/>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spacing w:after="288" w:line="240" w:lineRule="auto"/>
        <w:ind w:left="142"/>
        <w:rPr>
          <w:rFonts w:eastAsia="Times New Roman" w:cs="Arial"/>
          <w:bCs/>
          <w:szCs w:val="24"/>
        </w:rPr>
      </w:pPr>
      <w:proofErr w:type="gramStart"/>
      <w:r w:rsidRPr="00E458FA">
        <w:rPr>
          <w:rFonts w:eastAsia="Times New Roman" w:cs="Arial"/>
          <w:bCs/>
          <w:szCs w:val="24"/>
        </w:rPr>
        <w:lastRenderedPageBreak/>
        <w:t>Assessment panels?</w:t>
      </w:r>
      <w:proofErr w:type="gramEnd"/>
    </w:p>
    <w:p w:rsid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625459655"/>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7224971"/>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24324274"/>
          <w14:checkbox>
            <w14:checked w14:val="1"/>
            <w14:checkedState w14:val="2612" w14:font="MS Gothic"/>
            <w14:uncheckedState w14:val="2610" w14:font="MS Gothic"/>
          </w14:checkbox>
        </w:sdtPr>
        <w:sdtEndPr/>
        <w:sdtContent>
          <w:r w:rsidR="004E4A3D">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4E4A3D" w:rsidRDefault="004E4A3D" w:rsidP="00E458FA">
      <w:pPr>
        <w:tabs>
          <w:tab w:val="left" w:pos="567"/>
        </w:tabs>
        <w:spacing w:after="288" w:line="240" w:lineRule="auto"/>
        <w:ind w:left="142"/>
        <w:rPr>
          <w:rFonts w:eastAsia="Times New Roman" w:cs="Times New Roman"/>
          <w:szCs w:val="24"/>
        </w:rPr>
      </w:pPr>
      <w:r>
        <w:rPr>
          <w:rFonts w:eastAsia="Times New Roman" w:cs="Times New Roman"/>
          <w:szCs w:val="24"/>
        </w:rPr>
        <w:t xml:space="preserve">Discipline-specific panels would be essential as the methods, aims, goals and outcomes of education in the different disciplines vary so widely.  Speaking broadly, the arts and humanities are taught through fewer direct contact hours than the sciences and social sciences, but with </w:t>
      </w:r>
      <w:proofErr w:type="gramStart"/>
      <w:r>
        <w:rPr>
          <w:rFonts w:eastAsia="Times New Roman" w:cs="Times New Roman"/>
          <w:szCs w:val="24"/>
        </w:rPr>
        <w:t>more small</w:t>
      </w:r>
      <w:proofErr w:type="gramEnd"/>
      <w:r>
        <w:rPr>
          <w:rFonts w:eastAsia="Times New Roman" w:cs="Times New Roman"/>
          <w:szCs w:val="24"/>
        </w:rPr>
        <w:t xml:space="preserve"> group teaching, and aim first and foremost at developing independent learning, research, writing and presentation skills.  The range of employment outcomes is much greater, direct links to employers thus necessarily rare, and there are few opportunities for professional accreditation</w:t>
      </w:r>
      <w:r w:rsidR="006B5711">
        <w:rPr>
          <w:rFonts w:eastAsia="Times New Roman" w:cs="Times New Roman"/>
          <w:szCs w:val="24"/>
        </w:rPr>
        <w:t xml:space="preserve"> even in practice-based courses</w:t>
      </w:r>
      <w:r>
        <w:rPr>
          <w:rFonts w:eastAsia="Times New Roman" w:cs="Times New Roman"/>
          <w:szCs w:val="24"/>
        </w:rPr>
        <w:t xml:space="preserve">.  </w:t>
      </w:r>
      <w:r w:rsidR="006B5711">
        <w:rPr>
          <w:rFonts w:eastAsia="Times New Roman" w:cs="Times New Roman"/>
          <w:szCs w:val="24"/>
        </w:rPr>
        <w:t>Even within the arts and humanities, structural differences between courses make them strictly incommensurable – we would draw particular attention to langua</w:t>
      </w:r>
      <w:r w:rsidR="0023601C">
        <w:rPr>
          <w:rFonts w:eastAsia="Times New Roman" w:cs="Times New Roman"/>
          <w:szCs w:val="24"/>
        </w:rPr>
        <w:t xml:space="preserve">ge courses, which </w:t>
      </w:r>
      <w:r w:rsidR="006B5711">
        <w:rPr>
          <w:rFonts w:eastAsia="Times New Roman" w:cs="Times New Roman"/>
          <w:szCs w:val="24"/>
        </w:rPr>
        <w:t>require a year abroad (with consequent loss of direct control over teaching by the home institution</w:t>
      </w:r>
      <w:r w:rsidR="001F5E45">
        <w:rPr>
          <w:rFonts w:eastAsia="Times New Roman" w:cs="Times New Roman"/>
          <w:szCs w:val="24"/>
        </w:rPr>
        <w:t>, and as so often in our disciplines more emphasis on student self-reliance</w:t>
      </w:r>
      <w:r w:rsidR="006B5711">
        <w:rPr>
          <w:rFonts w:eastAsia="Times New Roman" w:cs="Times New Roman"/>
          <w:szCs w:val="24"/>
        </w:rPr>
        <w:t xml:space="preserve">), and to practice-based courses which are notoriously difficult to assess in their own right, still harder in conjunction with dissimilar courses.  </w:t>
      </w:r>
    </w:p>
    <w:p w:rsidR="004E4A3D" w:rsidRPr="00E458FA" w:rsidRDefault="004E4A3D" w:rsidP="00E458FA">
      <w:pPr>
        <w:tabs>
          <w:tab w:val="left" w:pos="567"/>
        </w:tabs>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Arial"/>
          <w:bCs/>
          <w:szCs w:val="24"/>
        </w:rPr>
      </w:pPr>
      <w:r w:rsidRPr="00E458FA">
        <w:rPr>
          <w:rFonts w:eastAsia="Times New Roman" w:cs="Arial"/>
          <w:bCs/>
          <w:szCs w:val="24"/>
        </w:rPr>
        <w:t xml:space="preserve"> </w:t>
      </w:r>
      <w:proofErr w:type="gramStart"/>
      <w:r w:rsidRPr="00E458FA">
        <w:rPr>
          <w:rFonts w:eastAsia="Times New Roman" w:cs="Arial"/>
          <w:bCs/>
          <w:szCs w:val="24"/>
        </w:rPr>
        <w:t>and</w:t>
      </w:r>
      <w:proofErr w:type="gramEnd"/>
      <w:r w:rsidRPr="00E458FA">
        <w:rPr>
          <w:rFonts w:eastAsia="Times New Roman" w:cs="Arial"/>
          <w:bCs/>
          <w:szCs w:val="24"/>
        </w:rPr>
        <w:t xml:space="preserve"> process?</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183208681"/>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91212049"/>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365754743"/>
          <w14:checkbox>
            <w14:checked w14:val="1"/>
            <w14:checkedState w14:val="2612" w14:font="MS Gothic"/>
            <w14:uncheckedState w14:val="2610" w14:font="MS Gothic"/>
          </w14:checkbox>
        </w:sdtPr>
        <w:sdtEndPr/>
        <w:sdtContent>
          <w:r w:rsidR="006B5711">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Default="00E458FA" w:rsidP="00E458FA">
      <w:pPr>
        <w:spacing w:after="288" w:line="240" w:lineRule="auto"/>
        <w:ind w:left="142"/>
        <w:rPr>
          <w:rFonts w:eastAsia="Times New Roman" w:cs="Arial"/>
          <w:bCs/>
          <w:szCs w:val="24"/>
        </w:rPr>
      </w:pPr>
      <w:r w:rsidRPr="00E458FA">
        <w:rPr>
          <w:rFonts w:eastAsia="Times New Roman" w:cs="Arial"/>
          <w:bCs/>
          <w:szCs w:val="24"/>
        </w:rPr>
        <w:t xml:space="preserve">Please give reasons for your answer. </w:t>
      </w:r>
    </w:p>
    <w:p w:rsidR="006B5711" w:rsidRDefault="006B5711" w:rsidP="00E458FA">
      <w:pPr>
        <w:spacing w:after="288" w:line="240" w:lineRule="auto"/>
        <w:ind w:left="142"/>
        <w:rPr>
          <w:rFonts w:eastAsia="Times New Roman" w:cs="Arial"/>
          <w:bCs/>
          <w:szCs w:val="24"/>
        </w:rPr>
      </w:pPr>
    </w:p>
    <w:p w:rsidR="006B5711" w:rsidRPr="00E458FA" w:rsidRDefault="006B5711" w:rsidP="00E458FA">
      <w:pPr>
        <w:spacing w:after="288" w:line="240" w:lineRule="auto"/>
        <w:ind w:left="142"/>
        <w:rPr>
          <w:rFonts w:eastAsia="Times New Roman" w:cs="Times New Roman"/>
          <w:szCs w:val="24"/>
        </w:rPr>
      </w:pPr>
      <w:r>
        <w:rPr>
          <w:rFonts w:eastAsia="Times New Roman" w:cs="Arial"/>
          <w:bCs/>
          <w:szCs w:val="24"/>
        </w:rPr>
        <w:t>Too few details of process are given to judge.</w:t>
      </w:r>
    </w:p>
    <w:p w:rsidR="00E458FA" w:rsidRPr="00E458FA" w:rsidRDefault="00E458FA" w:rsidP="00E458FA">
      <w:pPr>
        <w:spacing w:after="288" w:line="240" w:lineRule="auto"/>
        <w:ind w:left="142"/>
        <w:rPr>
          <w:rFonts w:eastAsia="Times New Roman" w:cs="Times New Roman"/>
          <w:bCs/>
          <w:iCs/>
          <w:szCs w:val="24"/>
        </w:rPr>
      </w:pPr>
    </w:p>
    <w:p w:rsidR="00E458FA" w:rsidRPr="00E458FA" w:rsidRDefault="00E458FA" w:rsidP="00E458FA">
      <w:pPr>
        <w:spacing w:after="288" w:line="240" w:lineRule="auto"/>
        <w:ind w:left="142"/>
        <w:rPr>
          <w:rFonts w:eastAsia="Times New Roman" w:cs="Times New Roman"/>
          <w:bCs/>
          <w:iCs/>
          <w:szCs w:val="24"/>
        </w:rPr>
      </w:pPr>
    </w:p>
    <w:p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Question 7: How can we minimise</w:t>
      </w:r>
      <w:r w:rsidR="00000F71">
        <w:rPr>
          <w:rFonts w:eastAsia="Times New Roman" w:cs="Times New Roman"/>
          <w:bCs/>
          <w:iCs/>
          <w:szCs w:val="24"/>
        </w:rPr>
        <w:t xml:space="preserve"> any administrative burdens on i</w:t>
      </w:r>
      <w:r w:rsidRPr="00E458FA">
        <w:rPr>
          <w:rFonts w:eastAsia="Times New Roman" w:cs="Times New Roman"/>
          <w:bCs/>
          <w:iCs/>
          <w:szCs w:val="24"/>
        </w:rPr>
        <w:t>nstitutions?  Please provide any evidence relating to the potential administrative costs and benefits to institutions of the proposals set out in this document.</w:t>
      </w:r>
    </w:p>
    <w:p w:rsidR="00E458FA" w:rsidRPr="00E458FA" w:rsidRDefault="00E458FA" w:rsidP="00E458FA">
      <w:pPr>
        <w:spacing w:after="288" w:line="240" w:lineRule="auto"/>
        <w:ind w:left="142"/>
        <w:rPr>
          <w:rFonts w:eastAsia="Times New Roman" w:cs="Times New Roman"/>
          <w:bCs/>
          <w:iCs/>
          <w:szCs w:val="24"/>
        </w:rPr>
      </w:pPr>
    </w:p>
    <w:p w:rsidR="00E458FA" w:rsidRPr="00E458FA" w:rsidRDefault="00E458FA" w:rsidP="00E458FA">
      <w:pPr>
        <w:spacing w:after="288" w:line="240" w:lineRule="auto"/>
        <w:ind w:left="142"/>
        <w:rPr>
          <w:rFonts w:eastAsia="Times New Roman" w:cs="Times New Roman"/>
          <w:bCs/>
          <w:iCs/>
          <w:szCs w:val="24"/>
        </w:rPr>
      </w:pPr>
    </w:p>
    <w:p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 xml:space="preserve">Question 8: Do you agree with the proposed approach to differentiation and award as TEF develops over time?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739120124"/>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2083635735"/>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563133339"/>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Please give reasons for your answer.</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9: Do you agree with the proposed approach to incentives for the different types of provider?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995140120"/>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51716966"/>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975829569"/>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10: Do you agree with the focus on teaching quality, learning environment, student outcomes and learning gain?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548266895"/>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177536797"/>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258367697"/>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11: Do you agree with the proposed approach to the evidence used to make TEF assessments - common metrics derived from the national databases supported by evidence from the provider?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476036851"/>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532805076"/>
          <w14:checkbox>
            <w14:checked w14:val="1"/>
            <w14:checkedState w14:val="2612" w14:font="MS Gothic"/>
            <w14:uncheckedState w14:val="2610" w14:font="MS Gothic"/>
          </w14:checkbox>
        </w:sdtPr>
        <w:sdtEndPr/>
        <w:sdtContent>
          <w:r w:rsidR="006B5711">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71814916"/>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6B5711" w:rsidRDefault="006B5711" w:rsidP="00E458FA">
      <w:pPr>
        <w:tabs>
          <w:tab w:val="left" w:pos="567"/>
        </w:tabs>
        <w:spacing w:after="288" w:line="240" w:lineRule="auto"/>
        <w:ind w:left="142" w:right="11"/>
        <w:rPr>
          <w:rFonts w:eastAsia="Times New Roman" w:cs="Arial"/>
          <w:szCs w:val="24"/>
        </w:rPr>
      </w:pPr>
      <w:r>
        <w:rPr>
          <w:rFonts w:eastAsia="Times New Roman" w:cs="Arial"/>
          <w:szCs w:val="24"/>
        </w:rPr>
        <w:t>In our view, the proposals are inconsistent with the Green Paper’s own acknowledgements of the obstacles to employing metrics, and with HEFCE’s review of the use of metrics in research assessment (</w:t>
      </w:r>
      <w:r>
        <w:rPr>
          <w:rFonts w:eastAsia="Times New Roman" w:cs="Arial"/>
          <w:i/>
          <w:szCs w:val="24"/>
        </w:rPr>
        <w:t>The Metric Tide</w:t>
      </w:r>
      <w:r>
        <w:rPr>
          <w:rFonts w:eastAsia="Times New Roman" w:cs="Arial"/>
          <w:szCs w:val="24"/>
        </w:rPr>
        <w:t xml:space="preserve">), even after 30 years of experience with research assessment.  </w:t>
      </w:r>
    </w:p>
    <w:p w:rsidR="006B5711" w:rsidRDefault="006B5711" w:rsidP="00E458FA">
      <w:pPr>
        <w:tabs>
          <w:tab w:val="left" w:pos="567"/>
        </w:tabs>
        <w:spacing w:after="288" w:line="240" w:lineRule="auto"/>
        <w:ind w:left="142" w:right="11"/>
        <w:rPr>
          <w:rFonts w:eastAsia="Times New Roman" w:cs="Arial"/>
          <w:szCs w:val="24"/>
        </w:rPr>
      </w:pPr>
      <w:r>
        <w:rPr>
          <w:rFonts w:eastAsia="Times New Roman" w:cs="Arial"/>
          <w:szCs w:val="24"/>
        </w:rPr>
        <w:t>As we suggest above, metrics based on employment and income on employment seem to us of very little use for this exercise.   Repeated studies have shown that</w:t>
      </w:r>
      <w:r w:rsidR="004D1E32">
        <w:rPr>
          <w:rFonts w:eastAsia="Times New Roman" w:cs="Arial"/>
          <w:szCs w:val="24"/>
        </w:rPr>
        <w:t>,</w:t>
      </w:r>
      <w:r>
        <w:rPr>
          <w:rFonts w:eastAsia="Times New Roman" w:cs="Arial"/>
          <w:szCs w:val="24"/>
        </w:rPr>
        <w:t xml:space="preserve"> even controlling for background and prior attainment</w:t>
      </w:r>
      <w:r w:rsidR="001F5E45">
        <w:rPr>
          <w:rFonts w:eastAsia="Times New Roman" w:cs="Arial"/>
          <w:szCs w:val="24"/>
        </w:rPr>
        <w:t>,</w:t>
      </w:r>
      <w:r>
        <w:rPr>
          <w:rFonts w:eastAsia="Times New Roman" w:cs="Arial"/>
          <w:szCs w:val="24"/>
        </w:rPr>
        <w:t xml:space="preserve"> data on employment and income give very little insight into teaching quality and learning gain (see Liu and </w:t>
      </w:r>
      <w:proofErr w:type="spellStart"/>
      <w:r>
        <w:rPr>
          <w:rFonts w:eastAsia="Times New Roman" w:cs="Arial"/>
          <w:szCs w:val="24"/>
        </w:rPr>
        <w:t>Grusky</w:t>
      </w:r>
      <w:proofErr w:type="spellEnd"/>
      <w:r>
        <w:rPr>
          <w:rFonts w:eastAsia="Times New Roman" w:cs="Arial"/>
          <w:szCs w:val="24"/>
        </w:rPr>
        <w:t xml:space="preserve"> 2013, cited above, and BIS’s own research, e.g. Walker and Zhu 2013:  ‘we are a very long way from being able to draw policy conclusions’ from data on graduate earnings broken down by subject of study).  Arts and humanities graduates typically have more diverse destinations, complex career paths, and very </w:t>
      </w:r>
      <w:r>
        <w:rPr>
          <w:rFonts w:eastAsia="Times New Roman" w:cs="Arial"/>
          <w:szCs w:val="24"/>
        </w:rPr>
        <w:lastRenderedPageBreak/>
        <w:t xml:space="preserve">often a quite different set of cost-benefit calculations, which a TEF based on ‘common metrics’ would be unable to </w:t>
      </w:r>
      <w:r w:rsidR="00F64A09">
        <w:rPr>
          <w:rFonts w:eastAsia="Times New Roman" w:cs="Arial"/>
          <w:szCs w:val="24"/>
        </w:rPr>
        <w:t xml:space="preserve">capture and would indeed run the risk of disrupting.   To take just one example, there are very striking differences in graduate </w:t>
      </w:r>
      <w:proofErr w:type="spellStart"/>
      <w:r w:rsidR="00F64A09">
        <w:rPr>
          <w:rFonts w:eastAsia="Times New Roman" w:cs="Arial"/>
          <w:szCs w:val="24"/>
        </w:rPr>
        <w:t>premia</w:t>
      </w:r>
      <w:proofErr w:type="spellEnd"/>
      <w:r w:rsidR="00F64A09">
        <w:rPr>
          <w:rFonts w:eastAsia="Times New Roman" w:cs="Arial"/>
          <w:szCs w:val="24"/>
        </w:rPr>
        <w:t xml:space="preserve"> on arts and humanities degrees between men and women, which reflect not the quality of their teaching (presumably more or less the same) but their historic standing in labour markets, different levels of disadvantage, and very possibly different patterns of aspiration as well</w:t>
      </w:r>
      <w:r w:rsidR="00820F30">
        <w:rPr>
          <w:rFonts w:eastAsia="Times New Roman" w:cs="Arial"/>
          <w:szCs w:val="24"/>
        </w:rPr>
        <w:t xml:space="preserve"> (see for example Schmidt, ‘Mind the Gap’, cited above;  Zafar, Journal of Human Resources, 2013;  and Walker and Zhu, Economics and Education Review, 2011)</w:t>
      </w:r>
      <w:r w:rsidR="00F64A09">
        <w:rPr>
          <w:rFonts w:eastAsia="Times New Roman" w:cs="Arial"/>
          <w:szCs w:val="24"/>
        </w:rPr>
        <w:t xml:space="preserve">.  </w:t>
      </w:r>
      <w:r w:rsidR="00104048">
        <w:rPr>
          <w:rFonts w:eastAsia="Times New Roman" w:cs="Arial"/>
          <w:szCs w:val="24"/>
        </w:rPr>
        <w:t xml:space="preserve"> To take another example, there are considerable differences in returns to education between regional labour markets, and in the absence of perfect labour mobility it would be absurd to penalize universities for the performance of their graduates in less favoured labour markets.  </w:t>
      </w:r>
    </w:p>
    <w:p w:rsidR="008A2B4A" w:rsidRDefault="008A2B4A" w:rsidP="00E458FA">
      <w:pPr>
        <w:tabs>
          <w:tab w:val="left" w:pos="567"/>
        </w:tabs>
        <w:spacing w:after="288" w:line="240" w:lineRule="auto"/>
        <w:ind w:left="142" w:right="11"/>
        <w:rPr>
          <w:rFonts w:eastAsia="Times New Roman" w:cs="Arial"/>
          <w:szCs w:val="24"/>
        </w:rPr>
      </w:pPr>
      <w:r>
        <w:rPr>
          <w:rFonts w:eastAsia="Times New Roman" w:cs="Arial"/>
          <w:szCs w:val="24"/>
        </w:rPr>
        <w:t xml:space="preserve">Furthermore, for small subjects, DLHE data is generally deficient as acknowledged in </w:t>
      </w:r>
      <w:proofErr w:type="spellStart"/>
      <w:r>
        <w:rPr>
          <w:rFonts w:eastAsia="Times New Roman" w:cs="Arial"/>
          <w:szCs w:val="24"/>
        </w:rPr>
        <w:t>Unistats</w:t>
      </w:r>
      <w:proofErr w:type="spellEnd"/>
      <w:r>
        <w:rPr>
          <w:rFonts w:eastAsia="Times New Roman" w:cs="Arial"/>
          <w:szCs w:val="24"/>
        </w:rPr>
        <w:t xml:space="preserve"> itself.   </w:t>
      </w:r>
      <w:r w:rsidR="001F5E45">
        <w:rPr>
          <w:rFonts w:eastAsia="Times New Roman" w:cs="Arial"/>
          <w:szCs w:val="24"/>
        </w:rPr>
        <w:t xml:space="preserve"> For </w:t>
      </w:r>
      <w:r>
        <w:rPr>
          <w:rFonts w:eastAsia="Times New Roman" w:cs="Arial"/>
          <w:szCs w:val="24"/>
        </w:rPr>
        <w:t>9</w:t>
      </w:r>
      <w:r w:rsidR="001F5E45">
        <w:rPr>
          <w:rFonts w:eastAsia="Times New Roman" w:cs="Arial"/>
          <w:szCs w:val="24"/>
        </w:rPr>
        <w:t>0% of the Archaeology returns,</w:t>
      </w:r>
      <w:r>
        <w:rPr>
          <w:rFonts w:eastAsia="Times New Roman" w:cs="Arial"/>
          <w:szCs w:val="24"/>
        </w:rPr>
        <w:t xml:space="preserve"> the March 2015 </w:t>
      </w:r>
      <w:proofErr w:type="spellStart"/>
      <w:r>
        <w:rPr>
          <w:rFonts w:eastAsia="Times New Roman" w:cs="Arial"/>
          <w:szCs w:val="24"/>
        </w:rPr>
        <w:t>Unistats</w:t>
      </w:r>
      <w:proofErr w:type="spellEnd"/>
      <w:r>
        <w:rPr>
          <w:rFonts w:eastAsia="Times New Roman" w:cs="Arial"/>
          <w:szCs w:val="24"/>
        </w:rPr>
        <w:t xml:space="preserve"> snapshot report</w:t>
      </w:r>
      <w:r w:rsidR="001F5E45">
        <w:rPr>
          <w:rFonts w:eastAsia="Times New Roman" w:cs="Arial"/>
          <w:szCs w:val="24"/>
        </w:rPr>
        <w:t>s</w:t>
      </w:r>
      <w:r>
        <w:rPr>
          <w:rFonts w:eastAsia="Times New Roman" w:cs="Arial"/>
          <w:szCs w:val="24"/>
        </w:rPr>
        <w:t>, ‘</w:t>
      </w:r>
      <w:r w:rsidRPr="008A2B4A">
        <w:rPr>
          <w:rFonts w:eastAsia="Times New Roman" w:cs="Arial"/>
          <w:szCs w:val="24"/>
        </w:rPr>
        <w:t>There are not enough data available to give specific information for the course…..the information may include data from previous years, or other courses at the institution in t</w:t>
      </w:r>
      <w:r>
        <w:rPr>
          <w:rFonts w:eastAsia="Times New Roman" w:cs="Arial"/>
          <w:szCs w:val="24"/>
        </w:rPr>
        <w:t>he course’s wider subject area.’</w:t>
      </w:r>
    </w:p>
    <w:p w:rsidR="00104048" w:rsidRPr="006B5711" w:rsidRDefault="00104048" w:rsidP="00E458FA">
      <w:pPr>
        <w:tabs>
          <w:tab w:val="left" w:pos="567"/>
        </w:tabs>
        <w:spacing w:after="288" w:line="240" w:lineRule="auto"/>
        <w:ind w:left="142" w:right="11"/>
        <w:rPr>
          <w:rFonts w:eastAsia="Times New Roman" w:cs="Arial"/>
          <w:szCs w:val="24"/>
        </w:rPr>
      </w:pPr>
      <w:r>
        <w:rPr>
          <w:rFonts w:eastAsia="Times New Roman" w:cs="Arial"/>
          <w:szCs w:val="24"/>
        </w:rPr>
        <w:t>Student satisfaction surveys also produce hig</w:t>
      </w:r>
      <w:r w:rsidR="008A2B4A">
        <w:rPr>
          <w:rFonts w:eastAsia="Times New Roman" w:cs="Arial"/>
          <w:szCs w:val="24"/>
        </w:rPr>
        <w:t>hly ambiguous results.  C</w:t>
      </w:r>
      <w:r>
        <w:rPr>
          <w:rFonts w:eastAsia="Times New Roman" w:cs="Arial"/>
          <w:szCs w:val="24"/>
        </w:rPr>
        <w:t xml:space="preserve">learly, student satisfaction is not a measure of teaching quality.  Indeed, there is evidence that greater emphasis on student satisfaction can sometimes perversely degrade teaching quality by </w:t>
      </w:r>
      <w:r w:rsidR="00062321">
        <w:rPr>
          <w:rFonts w:eastAsia="Times New Roman" w:cs="Arial"/>
          <w:szCs w:val="24"/>
        </w:rPr>
        <w:t>focusing attention (</w:t>
      </w:r>
      <w:r w:rsidR="008A2B4A">
        <w:rPr>
          <w:rFonts w:eastAsia="Times New Roman" w:cs="Arial"/>
          <w:szCs w:val="24"/>
        </w:rPr>
        <w:t xml:space="preserve">among </w:t>
      </w:r>
      <w:r w:rsidR="00062321">
        <w:rPr>
          <w:rFonts w:eastAsia="Times New Roman" w:cs="Arial"/>
          <w:szCs w:val="24"/>
        </w:rPr>
        <w:t xml:space="preserve">both </w:t>
      </w:r>
      <w:r w:rsidR="008A2B4A">
        <w:rPr>
          <w:rFonts w:eastAsia="Times New Roman" w:cs="Arial"/>
          <w:szCs w:val="24"/>
        </w:rPr>
        <w:t xml:space="preserve">students and managers) on fixed, measurable criteria at the expense of difficult or more innovative course characteristics.  It has widely been observed that secondary education has become more standardized as teaching and learning to the test are prioritized.  This development has its </w:t>
      </w:r>
      <w:proofErr w:type="gramStart"/>
      <w:r w:rsidR="008A2B4A">
        <w:rPr>
          <w:rFonts w:eastAsia="Times New Roman" w:cs="Arial"/>
          <w:szCs w:val="24"/>
        </w:rPr>
        <w:t>advantages  -</w:t>
      </w:r>
      <w:proofErr w:type="gramEnd"/>
      <w:r w:rsidR="008A2B4A">
        <w:rPr>
          <w:rFonts w:eastAsia="Times New Roman" w:cs="Arial"/>
          <w:szCs w:val="24"/>
        </w:rPr>
        <w:t xml:space="preserve"> it establishes minimum standards – but it has its disadvantages as well – it has been responsible for grade inflation and discouraged curricular and pedagogical innovation.  It also establishes very flat norms of student expectation.  At present university teaching represents a comparative liberation from those constraints.  There is a danger that these virtues will be lost if university teaching is policed by means of comparable metrics. </w:t>
      </w: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0" w:name="_Toc434412498"/>
      <w:r w:rsidRPr="00E458FA">
        <w:rPr>
          <w:rFonts w:eastAsia="Times New Roman" w:cs="Times New Roman"/>
          <w:b/>
          <w:bCs/>
          <w:color w:val="009BBB"/>
          <w:sz w:val="26"/>
          <w:szCs w:val="26"/>
        </w:rPr>
        <w:t>Social mobility and widening participation (Part A: Chapter 4)</w:t>
      </w:r>
      <w:bookmarkEnd w:id="10"/>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12:</w:t>
      </w:r>
    </w:p>
    <w:p w:rsidR="00E458FA" w:rsidRPr="00E458FA" w:rsidRDefault="00E458FA" w:rsidP="00E458FA">
      <w:pPr>
        <w:numPr>
          <w:ilvl w:val="0"/>
          <w:numId w:val="20"/>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proposals to further improve access and success for students from disadvantaged backgrounds and black and minority ethnic (BME) backgrounds?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768919719"/>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  </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01478035"/>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125505093"/>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E458FA" w:rsidRDefault="00E458FA" w:rsidP="00E458FA">
      <w:pPr>
        <w:tabs>
          <w:tab w:val="left" w:pos="567"/>
        </w:tabs>
        <w:spacing w:after="288" w:line="240" w:lineRule="auto"/>
        <w:ind w:left="502" w:right="11"/>
        <w:rPr>
          <w:rFonts w:eastAsia="Times New Roman" w:cs="Arial"/>
          <w:szCs w:val="24"/>
        </w:rPr>
      </w:pPr>
    </w:p>
    <w:p w:rsidR="00E458FA" w:rsidRPr="00E458FA" w:rsidRDefault="00E458FA" w:rsidP="00E458FA">
      <w:pPr>
        <w:tabs>
          <w:tab w:val="left" w:pos="567"/>
        </w:tabs>
        <w:spacing w:after="288" w:line="240" w:lineRule="auto"/>
        <w:ind w:left="502" w:right="11"/>
        <w:rPr>
          <w:rFonts w:eastAsia="Times New Roman" w:cs="Arial"/>
          <w:szCs w:val="24"/>
        </w:rPr>
      </w:pPr>
    </w:p>
    <w:p w:rsidR="00E458FA" w:rsidRPr="00E458FA" w:rsidRDefault="00E458FA" w:rsidP="00E458FA">
      <w:pPr>
        <w:numPr>
          <w:ilvl w:val="0"/>
          <w:numId w:val="20"/>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that the Office for Students should have the power to set targets where providers are failing to make progress?  </w:t>
      </w:r>
    </w:p>
    <w:p w:rsidR="00E458FA" w:rsidRPr="00E458FA" w:rsidRDefault="00E458FA" w:rsidP="006C7C6B">
      <w:pPr>
        <w:tabs>
          <w:tab w:val="left" w:pos="567"/>
        </w:tabs>
        <w:spacing w:after="288" w:line="240" w:lineRule="auto"/>
        <w:ind w:left="142" w:firstLine="360"/>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1529369998"/>
          <w14:checkbox>
            <w14:checked w14:val="0"/>
            <w14:checkedState w14:val="2612" w14:font="MS Gothic"/>
            <w14:uncheckedState w14:val="2610" w14:font="MS Gothic"/>
          </w14:checkbox>
        </w:sdtPr>
        <w:sdtEndPr/>
        <w:sdtContent>
          <w:r w:rsidR="006C7C6B">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2032948440"/>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890416440"/>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502" w:right="11"/>
        <w:rPr>
          <w:rFonts w:eastAsia="Times New Roman" w:cs="Arial"/>
          <w:szCs w:val="24"/>
        </w:rPr>
      </w:pPr>
    </w:p>
    <w:p w:rsidR="00E458FA" w:rsidRPr="00E458FA" w:rsidRDefault="00E458FA" w:rsidP="00E458FA">
      <w:pPr>
        <w:numPr>
          <w:ilvl w:val="0"/>
          <w:numId w:val="20"/>
        </w:numPr>
        <w:tabs>
          <w:tab w:val="left" w:pos="567"/>
        </w:tabs>
        <w:spacing w:after="288" w:line="240" w:lineRule="auto"/>
        <w:ind w:right="11"/>
        <w:rPr>
          <w:rFonts w:eastAsia="Times New Roman" w:cs="Arial"/>
          <w:szCs w:val="24"/>
        </w:rPr>
      </w:pPr>
      <w:r w:rsidRPr="00E458FA">
        <w:rPr>
          <w:rFonts w:eastAsia="Times New Roman" w:cs="Arial"/>
          <w:szCs w:val="24"/>
        </w:rPr>
        <w:t>What other groups or measures should the Government consider?</w:t>
      </w:r>
    </w:p>
    <w:p w:rsidR="00E458FA" w:rsidRPr="00E458FA" w:rsidRDefault="00E458FA" w:rsidP="00E458FA">
      <w:pPr>
        <w:tabs>
          <w:tab w:val="left" w:pos="567"/>
          <w:tab w:val="left" w:pos="2776"/>
        </w:tabs>
        <w:spacing w:after="288" w:line="240" w:lineRule="auto"/>
        <w:ind w:left="142" w:right="11"/>
        <w:rPr>
          <w:rFonts w:eastAsia="Times New Roman" w:cs="Arial"/>
          <w:szCs w:val="24"/>
        </w:rPr>
      </w:pPr>
    </w:p>
    <w:p w:rsidR="00E458FA" w:rsidRPr="00E458FA" w:rsidRDefault="00E458FA" w:rsidP="00E458FA">
      <w:pPr>
        <w:tabs>
          <w:tab w:val="left" w:pos="567"/>
          <w:tab w:val="left" w:pos="2776"/>
        </w:tabs>
        <w:spacing w:after="288" w:line="240" w:lineRule="auto"/>
        <w:ind w:left="142" w:right="11"/>
        <w:rPr>
          <w:rFonts w:eastAsia="Times New Roman" w:cs="Arial"/>
          <w:szCs w:val="24"/>
        </w:rPr>
      </w:pPr>
    </w:p>
    <w:p w:rsidR="00E458FA" w:rsidRPr="00E458FA" w:rsidRDefault="00E458FA" w:rsidP="00E458FA">
      <w:pPr>
        <w:tabs>
          <w:tab w:val="left" w:pos="567"/>
          <w:tab w:val="left" w:pos="2776"/>
        </w:tabs>
        <w:spacing w:after="288" w:line="240" w:lineRule="auto"/>
        <w:ind w:left="142" w:right="11"/>
        <w:rPr>
          <w:rFonts w:eastAsia="Times New Roman" w:cs="Arial"/>
          <w:szCs w:val="24"/>
        </w:rPr>
      </w:pPr>
      <w:r w:rsidRPr="00E458FA">
        <w:rPr>
          <w:rFonts w:eastAsia="Times New Roman" w:cs="Arial"/>
          <w:szCs w:val="24"/>
        </w:rPr>
        <w:t>Question 13:</w:t>
      </w:r>
      <w:r w:rsidRPr="00E458FA">
        <w:rPr>
          <w:rFonts w:eastAsia="Times New Roman" w:cs="Arial"/>
          <w:szCs w:val="24"/>
        </w:rPr>
        <w:tab/>
      </w:r>
    </w:p>
    <w:p w:rsidR="00E458FA" w:rsidRPr="00E458FA" w:rsidRDefault="00E458FA" w:rsidP="00E458FA">
      <w:pPr>
        <w:numPr>
          <w:ilvl w:val="0"/>
          <w:numId w:val="21"/>
        </w:numPr>
        <w:tabs>
          <w:tab w:val="left" w:pos="567"/>
        </w:tabs>
        <w:spacing w:after="288" w:line="240" w:lineRule="auto"/>
        <w:ind w:right="11"/>
        <w:rPr>
          <w:rFonts w:eastAsia="Times New Roman" w:cs="Arial"/>
          <w:szCs w:val="24"/>
        </w:rPr>
      </w:pPr>
      <w:r w:rsidRPr="00E458FA">
        <w:rPr>
          <w:rFonts w:eastAsia="Times New Roman" w:cs="Arial"/>
          <w:szCs w:val="24"/>
        </w:rPr>
        <w:t>What potential benefits for decision and policy making in relation to improving access might arise from additional data being available?</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numPr>
          <w:ilvl w:val="0"/>
          <w:numId w:val="21"/>
        </w:numPr>
        <w:tabs>
          <w:tab w:val="left" w:pos="567"/>
        </w:tabs>
        <w:spacing w:after="288" w:line="240" w:lineRule="auto"/>
        <w:ind w:right="11"/>
        <w:rPr>
          <w:rFonts w:eastAsia="Times New Roman" w:cs="Arial"/>
          <w:szCs w:val="24"/>
        </w:rPr>
      </w:pPr>
      <w:r w:rsidRPr="00E458FA">
        <w:rPr>
          <w:rFonts w:eastAsia="Times New Roman" w:cs="Arial"/>
          <w:szCs w:val="24"/>
        </w:rPr>
        <w:t>What additional administrative burdens might this place on organisations? If additional costs are expected to be associated with this, please quantify them.</w:t>
      </w:r>
    </w:p>
    <w:p w:rsidR="00E458FA" w:rsidRPr="00E458FA" w:rsidRDefault="00E458FA" w:rsidP="00E458FA">
      <w:pPr>
        <w:numPr>
          <w:ilvl w:val="1"/>
          <w:numId w:val="0"/>
        </w:numPr>
        <w:spacing w:after="288" w:line="240" w:lineRule="auto"/>
        <w:ind w:left="142"/>
        <w:rPr>
          <w:rFonts w:eastAsiaTheme="majorEastAsia" w:cstheme="majorBidi"/>
          <w:iCs/>
          <w:spacing w:val="15"/>
          <w:sz w:val="26"/>
          <w:szCs w:val="24"/>
          <w:u w:val="single"/>
        </w:rPr>
      </w:pPr>
    </w:p>
    <w:p w:rsidR="00E458FA" w:rsidRPr="00E458FA" w:rsidRDefault="00E458FA" w:rsidP="00E458FA">
      <w:pPr>
        <w:numPr>
          <w:ilvl w:val="1"/>
          <w:numId w:val="0"/>
        </w:numPr>
        <w:spacing w:after="288" w:line="240" w:lineRule="auto"/>
        <w:ind w:left="142"/>
        <w:rPr>
          <w:rFonts w:eastAsiaTheme="majorEastAsia" w:cstheme="majorBidi"/>
          <w:iCs/>
          <w:spacing w:val="15"/>
          <w:sz w:val="26"/>
          <w:szCs w:val="24"/>
          <w:u w:val="single"/>
        </w:rPr>
      </w:pP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1" w:name="_Toc434412499"/>
      <w:r w:rsidRPr="00E458FA">
        <w:rPr>
          <w:rFonts w:eastAsia="Times New Roman" w:cs="Times New Roman"/>
          <w:b/>
          <w:bCs/>
          <w:color w:val="009BBB"/>
          <w:sz w:val="26"/>
          <w:szCs w:val="26"/>
        </w:rPr>
        <w:t>Opening up the sector to new providers (Part B: Chapter 1)</w:t>
      </w:r>
      <w:bookmarkEnd w:id="11"/>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14: Do you agree with the proposed single route into the higher education sector?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r w:rsidRPr="00E458FA">
        <w:rPr>
          <w:rFonts w:eastAsia="Times New Roman" w:cs="Times New Roman"/>
          <w:szCs w:val="24"/>
        </w:rPr>
        <w:tab/>
      </w:r>
      <w:sdt>
        <w:sdtPr>
          <w:rPr>
            <w:rFonts w:eastAsia="Times New Roman" w:cs="Times New Roman"/>
            <w:szCs w:val="24"/>
          </w:rPr>
          <w:id w:val="987746131"/>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5801436"/>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191913701"/>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bCs/>
          <w:iCs/>
          <w:szCs w:val="24"/>
        </w:rPr>
      </w:pPr>
      <w:r w:rsidRPr="00E458FA">
        <w:rPr>
          <w:rFonts w:eastAsia="Times New Roman" w:cs="Arial"/>
          <w:szCs w:val="24"/>
        </w:rPr>
        <w:t>Please give reasons for your answer, including information quantifying how the potential cost of entry would change as a result of these proposals.</w:t>
      </w:r>
    </w:p>
    <w:p w:rsidR="00E458FA" w:rsidRPr="00E458FA" w:rsidRDefault="00E458FA" w:rsidP="00E458FA">
      <w:pPr>
        <w:spacing w:after="288" w:line="240" w:lineRule="auto"/>
        <w:ind w:left="142"/>
        <w:rPr>
          <w:rFonts w:eastAsia="Times New Roman" w:cs="Times New Roman"/>
          <w:bCs/>
          <w:iCs/>
          <w:szCs w:val="24"/>
        </w:rPr>
      </w:pPr>
    </w:p>
    <w:p w:rsidR="00E458FA" w:rsidRPr="00E458FA" w:rsidRDefault="00E458FA" w:rsidP="00E458FA">
      <w:pPr>
        <w:spacing w:after="288" w:line="240" w:lineRule="auto"/>
        <w:ind w:left="142"/>
        <w:rPr>
          <w:rFonts w:eastAsia="Times New Roman" w:cs="Times New Roman"/>
          <w:bCs/>
          <w:iCs/>
          <w:szCs w:val="24"/>
        </w:rPr>
      </w:pPr>
    </w:p>
    <w:p w:rsidR="00E458FA" w:rsidRPr="00E458FA" w:rsidRDefault="00E458FA" w:rsidP="00E458FA">
      <w:pPr>
        <w:spacing w:after="288" w:line="240" w:lineRule="auto"/>
        <w:ind w:left="142"/>
        <w:rPr>
          <w:rFonts w:eastAsia="Times New Roman" w:cs="Times New Roman"/>
          <w:bCs/>
          <w:iCs/>
          <w:szCs w:val="24"/>
        </w:rPr>
      </w:pPr>
    </w:p>
    <w:p w:rsidR="00E458FA" w:rsidRPr="00E458FA" w:rsidRDefault="00E458FA" w:rsidP="00E458FA">
      <w:pPr>
        <w:spacing w:after="288" w:line="240" w:lineRule="auto"/>
        <w:ind w:left="142"/>
        <w:rPr>
          <w:rFonts w:eastAsia="Times New Roman" w:cs="Times New Roman"/>
          <w:bCs/>
          <w:iCs/>
          <w:szCs w:val="24"/>
        </w:rPr>
      </w:pPr>
    </w:p>
    <w:p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Question 15:</w:t>
      </w:r>
    </w:p>
    <w:p w:rsidR="00E458FA" w:rsidRPr="00E458FA" w:rsidRDefault="00E458FA" w:rsidP="00E458FA">
      <w:pPr>
        <w:numPr>
          <w:ilvl w:val="0"/>
          <w:numId w:val="22"/>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risk-based approach to eligibility for degree awarding powers (DAPs) and university title?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1743702721"/>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98027560"/>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141418866"/>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numPr>
          <w:ilvl w:val="0"/>
          <w:numId w:val="22"/>
        </w:numPr>
        <w:tabs>
          <w:tab w:val="left" w:pos="567"/>
        </w:tabs>
        <w:spacing w:after="288" w:line="240" w:lineRule="auto"/>
        <w:ind w:right="11"/>
        <w:rPr>
          <w:rFonts w:eastAsia="Times New Roman" w:cs="Arial"/>
          <w:szCs w:val="24"/>
        </w:rPr>
      </w:pPr>
      <w:r w:rsidRPr="00E458FA">
        <w:rPr>
          <w:rFonts w:eastAsia="Times New Roman" w:cs="Arial"/>
          <w:szCs w:val="24"/>
        </w:rPr>
        <w:t>What are your views on the options identified for validation of courses delivered b</w:t>
      </w:r>
      <w:r w:rsidR="00000F71">
        <w:rPr>
          <w:rFonts w:eastAsia="Times New Roman" w:cs="Arial"/>
          <w:szCs w:val="24"/>
        </w:rPr>
        <w:t>y providers who do not hold DAPs</w:t>
      </w:r>
      <w:r w:rsidRPr="00E458FA">
        <w:rPr>
          <w:rFonts w:eastAsia="Times New Roman" w:cs="Arial"/>
          <w:szCs w:val="24"/>
        </w:rPr>
        <w:t xml:space="preserve">? </w:t>
      </w:r>
    </w:p>
    <w:p w:rsidR="00E458FA" w:rsidRPr="00E458FA" w:rsidRDefault="00E458FA" w:rsidP="00E458FA">
      <w:pPr>
        <w:tabs>
          <w:tab w:val="left" w:pos="567"/>
        </w:tabs>
        <w:spacing w:after="288" w:line="240" w:lineRule="auto"/>
        <w:ind w:right="11"/>
        <w:rPr>
          <w:rFonts w:eastAsia="Times New Roman" w:cs="Arial"/>
          <w:szCs w:val="24"/>
        </w:rPr>
      </w:pPr>
    </w:p>
    <w:p w:rsidR="00E458FA" w:rsidRPr="00E458FA" w:rsidRDefault="00E458FA" w:rsidP="00E458FA">
      <w:pPr>
        <w:tabs>
          <w:tab w:val="left" w:pos="567"/>
        </w:tabs>
        <w:spacing w:after="288" w:line="240" w:lineRule="auto"/>
        <w:ind w:right="11"/>
        <w:rPr>
          <w:rFonts w:eastAsia="Times New Roman" w:cs="Arial"/>
          <w:szCs w:val="24"/>
        </w:rPr>
      </w:pPr>
    </w:p>
    <w:p w:rsidR="00E458FA" w:rsidRPr="00E458FA" w:rsidRDefault="00E458FA" w:rsidP="00E458FA">
      <w:pPr>
        <w:tabs>
          <w:tab w:val="left" w:pos="567"/>
        </w:tabs>
        <w:spacing w:after="288" w:line="240" w:lineRule="auto"/>
        <w:ind w:right="11"/>
        <w:rPr>
          <w:rFonts w:eastAsia="Times New Roman" w:cs="Arial"/>
          <w:szCs w:val="24"/>
        </w:rPr>
      </w:pPr>
    </w:p>
    <w:p w:rsidR="00E458FA" w:rsidRPr="00E458FA" w:rsidRDefault="00E458FA" w:rsidP="00E458FA">
      <w:pPr>
        <w:tabs>
          <w:tab w:val="left" w:pos="567"/>
        </w:tabs>
        <w:spacing w:after="288" w:line="240" w:lineRule="auto"/>
        <w:ind w:right="11"/>
        <w:rPr>
          <w:rFonts w:eastAsia="Times New Roman" w:cs="Arial"/>
          <w:szCs w:val="24"/>
        </w:rPr>
      </w:pPr>
      <w:r w:rsidRPr="00E458FA">
        <w:rPr>
          <w:rFonts w:eastAsia="Times New Roman" w:cs="Arial"/>
          <w:szCs w:val="24"/>
        </w:rPr>
        <w:t xml:space="preserve">Question 16: Do you agree with the proposed immediate actions intended to speed up entry?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40375466"/>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78078010"/>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02231205"/>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numPr>
          <w:ilvl w:val="1"/>
          <w:numId w:val="0"/>
        </w:numPr>
        <w:spacing w:after="288" w:line="240" w:lineRule="auto"/>
        <w:ind w:left="142"/>
        <w:rPr>
          <w:rFonts w:eastAsiaTheme="majorEastAsia" w:cstheme="majorBidi"/>
          <w:b/>
          <w:iCs/>
          <w:color w:val="4F81BD" w:themeColor="accent1"/>
          <w:spacing w:val="15"/>
          <w:sz w:val="26"/>
          <w:szCs w:val="24"/>
          <w:u w:val="single"/>
        </w:rPr>
      </w:pPr>
    </w:p>
    <w:p w:rsidR="00E458FA" w:rsidRPr="00E458FA" w:rsidRDefault="00E458FA" w:rsidP="00E458FA">
      <w:pPr>
        <w:keepNext/>
        <w:spacing w:after="120" w:line="240" w:lineRule="auto"/>
        <w:outlineLvl w:val="2"/>
        <w:rPr>
          <w:rFonts w:eastAsia="Times New Roman" w:cs="Times New Roman"/>
          <w:b/>
          <w:bCs/>
          <w:color w:val="009BBB"/>
          <w:sz w:val="26"/>
          <w:szCs w:val="26"/>
        </w:rPr>
      </w:pPr>
      <w:bookmarkStart w:id="12" w:name="_Toc434412500"/>
      <w:r w:rsidRPr="00E458FA">
        <w:rPr>
          <w:rFonts w:eastAsia="Times New Roman" w:cs="Times New Roman"/>
          <w:b/>
          <w:bCs/>
          <w:color w:val="009BBB"/>
          <w:sz w:val="26"/>
          <w:szCs w:val="26"/>
        </w:rPr>
        <w:t>Provider exit and student protection (Part B: Chapter 2)</w:t>
      </w:r>
      <w:bookmarkEnd w:id="12"/>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17: Do you agree with the proposal to introduce a requirement for all providers to have contingency arrangements to support students in the event that their course cannot be completed?</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lastRenderedPageBreak/>
        <w:t xml:space="preserve">     </w:t>
      </w:r>
      <w:sdt>
        <w:sdtPr>
          <w:rPr>
            <w:rFonts w:eastAsia="Times New Roman" w:cs="Times New Roman"/>
            <w:szCs w:val="24"/>
          </w:rPr>
          <w:id w:val="1269128739"/>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161995371"/>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935441191"/>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Times New Roman"/>
          <w:szCs w:val="24"/>
        </w:rPr>
      </w:pPr>
      <w:r w:rsidRPr="00E458FA">
        <w:rPr>
          <w:rFonts w:eastAsia="Times New Roman" w:cs="Arial"/>
          <w:szCs w:val="24"/>
        </w:rPr>
        <w:t xml:space="preserve">Please give reasons for your answer, including evidence on the costs and benefits associated with having a contingency plan in place? Please quantify these costs where possible. </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br/>
      </w: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3" w:name="_Toc434412501"/>
      <w:r w:rsidRPr="00E458FA">
        <w:rPr>
          <w:rFonts w:eastAsia="Times New Roman" w:cs="Times New Roman"/>
          <w:b/>
          <w:bCs/>
          <w:color w:val="009BBB"/>
          <w:sz w:val="26"/>
          <w:szCs w:val="26"/>
        </w:rPr>
        <w:t>Simplifying the higher education architecture (Part C)</w:t>
      </w:r>
      <w:bookmarkEnd w:id="13"/>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18:</w:t>
      </w:r>
    </w:p>
    <w:p w:rsidR="00E458FA" w:rsidRPr="00E458FA" w:rsidRDefault="00E458FA" w:rsidP="00E458FA">
      <w:pPr>
        <w:numPr>
          <w:ilvl w:val="0"/>
          <w:numId w:val="23"/>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changes to the higher education architecture? </w:t>
      </w:r>
    </w:p>
    <w:p w:rsidR="00E458FA" w:rsidRPr="00E458FA" w:rsidRDefault="00273B72" w:rsidP="00E458FA">
      <w:pPr>
        <w:tabs>
          <w:tab w:val="left" w:pos="567"/>
        </w:tabs>
        <w:spacing w:after="288" w:line="240" w:lineRule="auto"/>
        <w:ind w:left="142"/>
        <w:rPr>
          <w:rFonts w:eastAsia="Times New Roman" w:cs="Times New Roman"/>
          <w:szCs w:val="24"/>
        </w:rPr>
      </w:pPr>
      <w:sdt>
        <w:sdtPr>
          <w:rPr>
            <w:rFonts w:ascii="MS Gothic" w:eastAsia="MS Gothic" w:hAnsi="MS Gothic" w:cs="Times New Roman"/>
            <w:szCs w:val="24"/>
          </w:rPr>
          <w:id w:val="-1084302760"/>
          <w14:checkbox>
            <w14:checked w14:val="0"/>
            <w14:checkedState w14:val="2612" w14:font="MS Gothic"/>
            <w14:uncheckedState w14:val="2610" w14:font="MS Gothic"/>
          </w14:checkbox>
        </w:sdtPr>
        <w:sdtEndPr/>
        <w:sdtContent>
          <w:r w:rsidR="00E458FA" w:rsidRPr="00E458FA">
            <w:rPr>
              <w:rFonts w:ascii="MS Gothic" w:eastAsia="MS Gothic" w:hAnsi="MS Gothic" w:cs="Times New Roman" w:hint="eastAsia"/>
              <w:szCs w:val="24"/>
            </w:rPr>
            <w:t>☐</w:t>
          </w:r>
        </w:sdtContent>
      </w:sdt>
      <w:r w:rsidR="00E458FA" w:rsidRPr="00E458FA">
        <w:rPr>
          <w:rFonts w:eastAsia="Times New Roman" w:cs="Times New Roman"/>
          <w:szCs w:val="24"/>
        </w:rPr>
        <w:t xml:space="preserve"> Yes</w:t>
      </w:r>
      <w:r w:rsidR="00E458FA" w:rsidRPr="00E458FA">
        <w:rPr>
          <w:rFonts w:eastAsia="Times New Roman" w:cs="Times New Roman"/>
          <w:szCs w:val="24"/>
        </w:rPr>
        <w:tab/>
      </w:r>
      <w:r w:rsidR="00E458FA" w:rsidRPr="00E458FA">
        <w:rPr>
          <w:rFonts w:eastAsia="Times New Roman" w:cs="Times New Roman"/>
          <w:szCs w:val="24"/>
        </w:rPr>
        <w:tab/>
      </w:r>
      <w:sdt>
        <w:sdtPr>
          <w:rPr>
            <w:rFonts w:ascii="MS Gothic" w:eastAsia="MS Gothic" w:hAnsi="MS Gothic" w:cs="Times New Roman"/>
            <w:szCs w:val="24"/>
          </w:rPr>
          <w:id w:val="-905529047"/>
          <w14:checkbox>
            <w14:checked w14:val="1"/>
            <w14:checkedState w14:val="2612" w14:font="MS Gothic"/>
            <w14:uncheckedState w14:val="2610" w14:font="MS Gothic"/>
          </w14:checkbox>
        </w:sdtPr>
        <w:sdtEndPr/>
        <w:sdtContent>
          <w:r w:rsidR="001E3627">
            <w:rPr>
              <w:rFonts w:ascii="MS Gothic" w:eastAsia="MS Gothic" w:hAnsi="MS Gothic" w:cs="Times New Roman" w:hint="eastAsia"/>
              <w:szCs w:val="24"/>
            </w:rPr>
            <w:t>☒</w:t>
          </w:r>
        </w:sdtContent>
      </w:sdt>
      <w:r w:rsidR="00E458FA" w:rsidRPr="00E458FA">
        <w:rPr>
          <w:rFonts w:eastAsia="Times New Roman" w:cs="Times New Roman"/>
          <w:szCs w:val="24"/>
        </w:rPr>
        <w:t xml:space="preserve"> No</w:t>
      </w:r>
      <w:r w:rsidR="00E458FA" w:rsidRPr="00E458FA">
        <w:rPr>
          <w:rFonts w:eastAsia="Times New Roman" w:cs="Times New Roman"/>
          <w:szCs w:val="24"/>
        </w:rPr>
        <w:tab/>
      </w:r>
      <w:r w:rsidR="00E458FA" w:rsidRPr="00E458FA">
        <w:rPr>
          <w:rFonts w:eastAsia="Times New Roman" w:cs="Times New Roman"/>
          <w:szCs w:val="24"/>
        </w:rPr>
        <w:tab/>
      </w:r>
      <w:r w:rsidR="00E458FA" w:rsidRPr="00E458FA">
        <w:rPr>
          <w:rFonts w:eastAsia="Times New Roman" w:cs="Times New Roman"/>
          <w:szCs w:val="24"/>
        </w:rPr>
        <w:tab/>
      </w:r>
      <w:sdt>
        <w:sdtPr>
          <w:rPr>
            <w:rFonts w:ascii="MS Gothic" w:eastAsia="MS Gothic" w:hAnsi="MS Gothic" w:cs="Times New Roman"/>
            <w:szCs w:val="24"/>
          </w:rPr>
          <w:id w:val="-1203939290"/>
          <w14:checkbox>
            <w14:checked w14:val="0"/>
            <w14:checkedState w14:val="2612" w14:font="MS Gothic"/>
            <w14:uncheckedState w14:val="2610" w14:font="MS Gothic"/>
          </w14:checkbox>
        </w:sdtPr>
        <w:sdtEndPr/>
        <w:sdtContent>
          <w:r w:rsidR="00E458FA" w:rsidRPr="00E458FA">
            <w:rPr>
              <w:rFonts w:ascii="MS Gothic" w:eastAsia="MS Gothic" w:hAnsi="MS Gothic" w:cs="Times New Roman" w:hint="eastAsia"/>
              <w:szCs w:val="24"/>
            </w:rPr>
            <w:t>☐</w:t>
          </w:r>
        </w:sdtContent>
      </w:sdt>
      <w:r w:rsidR="00E458FA" w:rsidRPr="00E458FA">
        <w:rPr>
          <w:rFonts w:eastAsia="Times New Roman" w:cs="Times New Roman"/>
          <w:szCs w:val="24"/>
        </w:rPr>
        <w:t xml:space="preserve"> </w:t>
      </w:r>
      <w:proofErr w:type="gramStart"/>
      <w:r w:rsidR="00E458FA" w:rsidRPr="00E458FA">
        <w:rPr>
          <w:rFonts w:eastAsia="Times New Roman" w:cs="Times New Roman"/>
          <w:szCs w:val="24"/>
        </w:rPr>
        <w:t>Not</w:t>
      </w:r>
      <w:proofErr w:type="gramEnd"/>
      <w:r w:rsidR="00E458FA"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Please give reasons for your answer.  </w:t>
      </w:r>
    </w:p>
    <w:p w:rsidR="001E3627" w:rsidRDefault="001E3627" w:rsidP="00E458FA">
      <w:pPr>
        <w:tabs>
          <w:tab w:val="left" w:pos="567"/>
        </w:tabs>
        <w:spacing w:after="288" w:line="240" w:lineRule="auto"/>
        <w:ind w:left="142" w:right="11"/>
        <w:rPr>
          <w:rFonts w:eastAsia="Times New Roman" w:cs="Arial"/>
          <w:szCs w:val="24"/>
        </w:rPr>
      </w:pPr>
      <w:r>
        <w:rPr>
          <w:rFonts w:eastAsia="Times New Roman" w:cs="Arial"/>
          <w:szCs w:val="24"/>
        </w:rPr>
        <w:t xml:space="preserve">We consider it of central importance that the dual-funding structure for research, which the Green Paper happily endorses, be mirrored in the higher education architecture. </w:t>
      </w:r>
    </w:p>
    <w:p w:rsidR="00E458FA" w:rsidRDefault="001E3627" w:rsidP="00E458FA">
      <w:pPr>
        <w:tabs>
          <w:tab w:val="left" w:pos="567"/>
        </w:tabs>
        <w:spacing w:after="288" w:line="240" w:lineRule="auto"/>
        <w:ind w:left="142" w:right="11"/>
        <w:rPr>
          <w:rFonts w:eastAsia="Times New Roman" w:cs="Arial"/>
          <w:szCs w:val="24"/>
        </w:rPr>
      </w:pPr>
      <w:proofErr w:type="gramStart"/>
      <w:r>
        <w:rPr>
          <w:rFonts w:eastAsia="Times New Roman" w:cs="Arial"/>
          <w:szCs w:val="24"/>
        </w:rPr>
        <w:t>First, because the two arms represent two different relationships to government – the research councils closer to government, the funding councils more fully autonomous.</w:t>
      </w:r>
      <w:proofErr w:type="gramEnd"/>
      <w:r>
        <w:rPr>
          <w:rFonts w:eastAsia="Times New Roman" w:cs="Arial"/>
          <w:szCs w:val="24"/>
        </w:rPr>
        <w:t xml:space="preserve">   This is particularly important to the arts and humanities, which receive 85% of their research funding from QR, not from the research councils.</w:t>
      </w:r>
    </w:p>
    <w:p w:rsidR="001E3627" w:rsidRDefault="001E3627" w:rsidP="00E458FA">
      <w:pPr>
        <w:tabs>
          <w:tab w:val="left" w:pos="567"/>
        </w:tabs>
        <w:spacing w:after="288" w:line="240" w:lineRule="auto"/>
        <w:ind w:left="142" w:right="11"/>
        <w:rPr>
          <w:rFonts w:eastAsia="Times New Roman" w:cs="Arial"/>
          <w:szCs w:val="24"/>
        </w:rPr>
      </w:pPr>
      <w:r>
        <w:rPr>
          <w:rFonts w:eastAsia="Times New Roman" w:cs="Arial"/>
          <w:szCs w:val="24"/>
        </w:rPr>
        <w:t xml:space="preserve">Second, because while ‘putting students at the heart of higher education’ is a useful goal and a convenient slogan, it </w:t>
      </w:r>
      <w:r w:rsidR="00D41B38">
        <w:rPr>
          <w:rFonts w:eastAsia="Times New Roman" w:cs="Arial"/>
          <w:szCs w:val="24"/>
        </w:rPr>
        <w:t>is not a good guide to the administration and regulation of the system.  An ‘Office for Students’ cannot oversee postgraduate research or other research functions integral to the educational mission of universities.  Nor can it take responsibility for other planning, infrastructural and research functions that are currently performed in the funding councils (and on which considerable expertise has been built up over a long period).</w:t>
      </w:r>
    </w:p>
    <w:p w:rsidR="001E3627" w:rsidRPr="00E458FA" w:rsidRDefault="001E3627" w:rsidP="001E3627">
      <w:pPr>
        <w:tabs>
          <w:tab w:val="left" w:pos="567"/>
        </w:tabs>
        <w:spacing w:after="288" w:line="240" w:lineRule="auto"/>
        <w:ind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numPr>
          <w:ilvl w:val="0"/>
          <w:numId w:val="23"/>
        </w:numPr>
        <w:tabs>
          <w:tab w:val="left" w:pos="567"/>
        </w:tabs>
        <w:spacing w:after="288" w:line="240" w:lineRule="auto"/>
        <w:ind w:right="11"/>
        <w:rPr>
          <w:rFonts w:eastAsia="Times New Roman" w:cs="Arial"/>
          <w:szCs w:val="24"/>
        </w:rPr>
      </w:pPr>
      <w:r w:rsidRPr="00E458FA">
        <w:rPr>
          <w:rFonts w:eastAsia="Times New Roman" w:cs="Arial"/>
          <w:szCs w:val="24"/>
        </w:rPr>
        <w:t>To what extent should the Office for Students (</w:t>
      </w:r>
      <w:proofErr w:type="spellStart"/>
      <w:r w:rsidRPr="00E458FA">
        <w:rPr>
          <w:rFonts w:eastAsia="Times New Roman" w:cs="Arial"/>
          <w:szCs w:val="24"/>
        </w:rPr>
        <w:t>OfS</w:t>
      </w:r>
      <w:proofErr w:type="spellEnd"/>
      <w:r w:rsidRPr="00E458FA">
        <w:rPr>
          <w:rFonts w:eastAsia="Times New Roman" w:cs="Arial"/>
          <w:szCs w:val="24"/>
        </w:rPr>
        <w:t xml:space="preserve">) have the power to contract out its functions to separate bodies?  </w:t>
      </w:r>
    </w:p>
    <w:p w:rsidR="00E458FA" w:rsidRPr="00E458FA" w:rsidRDefault="00E458FA" w:rsidP="00E458FA">
      <w:pPr>
        <w:tabs>
          <w:tab w:val="left" w:pos="567"/>
        </w:tabs>
        <w:spacing w:after="288" w:line="240" w:lineRule="auto"/>
        <w:rPr>
          <w:rFonts w:eastAsia="Times New Roman" w:cs="Times New Roman"/>
          <w:szCs w:val="24"/>
        </w:rPr>
      </w:pPr>
      <w:r w:rsidRPr="00E458FA">
        <w:rPr>
          <w:rFonts w:eastAsia="Times New Roman" w:cs="Times New Roman"/>
          <w:szCs w:val="24"/>
        </w:rPr>
        <w:tab/>
      </w:r>
      <w:sdt>
        <w:sdtPr>
          <w:rPr>
            <w:rFonts w:ascii="MS Gothic" w:eastAsia="MS Gothic" w:hAnsi="MS Gothic" w:cs="Times New Roman"/>
            <w:szCs w:val="24"/>
          </w:rPr>
          <w:id w:val="1920902391"/>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Fully</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547384"/>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Partially</w:t>
      </w:r>
      <w:proofErr w:type="gramEnd"/>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701595152"/>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at all</w:t>
      </w:r>
    </w:p>
    <w:p w:rsidR="00E458FA" w:rsidRPr="00E458FA" w:rsidRDefault="00E458FA" w:rsidP="00E458FA">
      <w:pPr>
        <w:numPr>
          <w:ilvl w:val="0"/>
          <w:numId w:val="23"/>
        </w:numPr>
        <w:tabs>
          <w:tab w:val="left" w:pos="567"/>
        </w:tabs>
        <w:spacing w:after="288" w:line="240" w:lineRule="auto"/>
        <w:ind w:left="360" w:right="11"/>
        <w:rPr>
          <w:rFonts w:eastAsia="Times New Roman" w:cs="Arial"/>
          <w:szCs w:val="24"/>
        </w:rPr>
      </w:pPr>
      <w:r w:rsidRPr="00E458FA">
        <w:rPr>
          <w:rFonts w:eastAsia="Times New Roman" w:cs="Arial"/>
          <w:szCs w:val="24"/>
        </w:rPr>
        <w:t xml:space="preserve">If you agree, which functions should the </w:t>
      </w:r>
      <w:proofErr w:type="spellStart"/>
      <w:r w:rsidRPr="00E458FA">
        <w:rPr>
          <w:rFonts w:eastAsia="Times New Roman" w:cs="Arial"/>
          <w:szCs w:val="24"/>
        </w:rPr>
        <w:t>OfS</w:t>
      </w:r>
      <w:proofErr w:type="spellEnd"/>
      <w:r w:rsidRPr="00E458FA">
        <w:rPr>
          <w:rFonts w:eastAsia="Times New Roman" w:cs="Arial"/>
          <w:szCs w:val="24"/>
        </w:rPr>
        <w:t xml:space="preserve"> be able to contract out?</w:t>
      </w:r>
    </w:p>
    <w:p w:rsidR="00E458FA" w:rsidRPr="00E458FA" w:rsidRDefault="00E458FA" w:rsidP="00E458FA">
      <w:pPr>
        <w:spacing w:after="0" w:line="240" w:lineRule="auto"/>
        <w:ind w:left="502"/>
        <w:contextualSpacing/>
        <w:rPr>
          <w:rFonts w:ascii="Times New Roman" w:eastAsia="Times New Roman" w:hAnsi="Times New Roman" w:cs="Times New Roman"/>
          <w:szCs w:val="24"/>
          <w:lang w:eastAsia="en-GB"/>
        </w:rPr>
      </w:pPr>
    </w:p>
    <w:p w:rsidR="00E458FA" w:rsidRPr="00E458FA" w:rsidRDefault="00E458FA" w:rsidP="00E458FA">
      <w:pPr>
        <w:spacing w:after="0" w:line="240" w:lineRule="auto"/>
        <w:ind w:left="502"/>
        <w:contextualSpacing/>
        <w:rPr>
          <w:rFonts w:ascii="Times New Roman" w:eastAsia="Times New Roman" w:hAnsi="Times New Roman" w:cs="Times New Roman"/>
          <w:szCs w:val="24"/>
          <w:lang w:eastAsia="en-GB"/>
        </w:rPr>
      </w:pPr>
    </w:p>
    <w:p w:rsidR="00E458FA" w:rsidRPr="00E458FA" w:rsidRDefault="00E458FA" w:rsidP="00E458FA">
      <w:pPr>
        <w:spacing w:after="0" w:line="240" w:lineRule="auto"/>
        <w:ind w:left="502"/>
        <w:contextualSpacing/>
        <w:rPr>
          <w:rFonts w:ascii="Times New Roman" w:eastAsia="Times New Roman" w:hAnsi="Times New Roman" w:cs="Times New Roman"/>
          <w:szCs w:val="24"/>
          <w:lang w:eastAsia="en-GB"/>
        </w:rPr>
      </w:pPr>
    </w:p>
    <w:p w:rsidR="00E458FA" w:rsidRPr="00E458FA" w:rsidRDefault="00E458FA" w:rsidP="00E458FA">
      <w:pPr>
        <w:tabs>
          <w:tab w:val="left" w:pos="567"/>
        </w:tabs>
        <w:spacing w:after="288" w:line="240" w:lineRule="auto"/>
        <w:ind w:left="502" w:right="11"/>
        <w:rPr>
          <w:rFonts w:eastAsia="Times New Roman" w:cs="Arial"/>
          <w:b/>
          <w:i/>
          <w:color w:val="4F81BD" w:themeColor="accent1"/>
          <w:szCs w:val="24"/>
        </w:rPr>
      </w:pPr>
    </w:p>
    <w:p w:rsidR="00E458FA" w:rsidRPr="00E458FA" w:rsidRDefault="00E458FA" w:rsidP="00E458FA">
      <w:pPr>
        <w:numPr>
          <w:ilvl w:val="0"/>
          <w:numId w:val="23"/>
        </w:numPr>
        <w:tabs>
          <w:tab w:val="left" w:pos="567"/>
        </w:tabs>
        <w:spacing w:after="288" w:line="240" w:lineRule="auto"/>
        <w:ind w:left="360" w:right="11"/>
        <w:rPr>
          <w:rFonts w:eastAsia="Times New Roman" w:cs="Arial"/>
          <w:szCs w:val="24"/>
        </w:rPr>
      </w:pPr>
      <w:r w:rsidRPr="00E458FA">
        <w:rPr>
          <w:rFonts w:eastAsia="Times New Roman" w:cs="Arial"/>
          <w:szCs w:val="24"/>
        </w:rPr>
        <w:t>What are your views on the proposed options for allocating Teaching Grant?</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Option 1: BIS Ministers set strategic priorities and BIS officials determine formula.</w:t>
      </w:r>
    </w:p>
    <w:p w:rsidR="00E458FA" w:rsidRPr="00E458FA" w:rsidRDefault="00273B72" w:rsidP="00E458FA">
      <w:pPr>
        <w:spacing w:after="288" w:line="240" w:lineRule="auto"/>
        <w:ind w:firstLine="720"/>
        <w:rPr>
          <w:rFonts w:eastAsia="Times New Roman" w:cs="Times New Roman"/>
          <w:szCs w:val="24"/>
        </w:rPr>
      </w:pPr>
      <w:sdt>
        <w:sdtPr>
          <w:rPr>
            <w:rFonts w:eastAsia="Times New Roman" w:cs="Times New Roman"/>
            <w:szCs w:val="24"/>
          </w:rPr>
          <w:id w:val="1815599012"/>
          <w14:checkbox>
            <w14:checked w14:val="0"/>
            <w14:checkedState w14:val="2612" w14:font="MS Gothic"/>
            <w14:uncheckedState w14:val="2610" w14:font="MS Gothic"/>
          </w14:checkbox>
        </w:sdtPr>
        <w:sdtEndPr/>
        <w:sdtContent>
          <w:r w:rsidR="006C7C6B">
            <w:rPr>
              <w:rFonts w:ascii="MS Gothic" w:eastAsia="MS Gothic" w:hAnsi="MS Gothic" w:cs="Times New Roman" w:hint="eastAsia"/>
              <w:szCs w:val="24"/>
            </w:rPr>
            <w:t>☐</w:t>
          </w:r>
        </w:sdtContent>
      </w:sdt>
      <w:r w:rsidR="00E458FA" w:rsidRPr="00E458FA">
        <w:rPr>
          <w:rFonts w:eastAsia="Times New Roman" w:cs="Times New Roman"/>
          <w:szCs w:val="24"/>
        </w:rPr>
        <w:t xml:space="preserve"> Agree</w:t>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659104861"/>
          <w14:checkbox>
            <w14:checked w14:val="1"/>
            <w14:checkedState w14:val="2612" w14:font="MS Gothic"/>
            <w14:uncheckedState w14:val="2610" w14:font="MS Gothic"/>
          </w14:checkbox>
        </w:sdtPr>
        <w:sdtEndPr/>
        <w:sdtContent>
          <w:r w:rsidR="00D41B38">
            <w:rPr>
              <w:rFonts w:ascii="MS Gothic" w:eastAsia="MS Gothic" w:hAnsi="MS Gothic" w:cs="Times New Roman" w:hint="eastAsia"/>
              <w:szCs w:val="24"/>
            </w:rPr>
            <w:t>☒</w:t>
          </w:r>
        </w:sdtContent>
      </w:sdt>
      <w:r w:rsidR="00E458FA" w:rsidRPr="00E458FA">
        <w:rPr>
          <w:rFonts w:eastAsia="Times New Roman" w:cs="Times New Roman"/>
          <w:szCs w:val="24"/>
        </w:rPr>
        <w:t xml:space="preserve"> Disagree</w:t>
      </w:r>
      <w:r w:rsidR="00E458FA" w:rsidRPr="00E458FA">
        <w:rPr>
          <w:rFonts w:eastAsia="Times New Roman" w:cs="Times New Roman"/>
          <w:szCs w:val="24"/>
        </w:rPr>
        <w:tab/>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535004148"/>
          <w14:checkbox>
            <w14:checked w14:val="0"/>
            <w14:checkedState w14:val="2612" w14:font="MS Gothic"/>
            <w14:uncheckedState w14:val="2610" w14:font="MS Gothic"/>
          </w14:checkbox>
        </w:sdtPr>
        <w:sdtEnd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w:t>
      </w:r>
      <w:proofErr w:type="gramStart"/>
      <w:r w:rsidR="00E458FA" w:rsidRPr="00E458FA">
        <w:rPr>
          <w:rFonts w:eastAsia="Times New Roman" w:cs="Times New Roman"/>
          <w:szCs w:val="24"/>
        </w:rPr>
        <w:t>Not</w:t>
      </w:r>
      <w:proofErr w:type="gramEnd"/>
      <w:r w:rsidR="00E458FA"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Option 2: BIS Minister sets strategic priorities and allocation responsibilities divested to </w:t>
      </w:r>
      <w:proofErr w:type="spellStart"/>
      <w:r w:rsidRPr="00E458FA">
        <w:rPr>
          <w:rFonts w:eastAsia="Times New Roman" w:cs="Arial"/>
          <w:szCs w:val="24"/>
        </w:rPr>
        <w:t>OfS</w:t>
      </w:r>
      <w:proofErr w:type="spellEnd"/>
    </w:p>
    <w:p w:rsidR="00E458FA" w:rsidRPr="00E458FA" w:rsidRDefault="00273B72" w:rsidP="00E458FA">
      <w:pPr>
        <w:spacing w:after="288" w:line="240" w:lineRule="auto"/>
        <w:ind w:firstLine="720"/>
        <w:rPr>
          <w:rFonts w:eastAsia="Times New Roman" w:cs="Times New Roman"/>
          <w:szCs w:val="24"/>
        </w:rPr>
      </w:pPr>
      <w:sdt>
        <w:sdtPr>
          <w:rPr>
            <w:rFonts w:eastAsia="Times New Roman" w:cs="Times New Roman"/>
            <w:szCs w:val="24"/>
          </w:rPr>
          <w:id w:val="-1252809423"/>
          <w14:checkbox>
            <w14:checked w14:val="0"/>
            <w14:checkedState w14:val="2612" w14:font="MS Gothic"/>
            <w14:uncheckedState w14:val="2610" w14:font="MS Gothic"/>
          </w14:checkbox>
        </w:sdtPr>
        <w:sdtEnd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Agree</w:t>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195371255"/>
          <w14:checkbox>
            <w14:checked w14:val="1"/>
            <w14:checkedState w14:val="2612" w14:font="MS Gothic"/>
            <w14:uncheckedState w14:val="2610" w14:font="MS Gothic"/>
          </w14:checkbox>
        </w:sdtPr>
        <w:sdtEndPr/>
        <w:sdtContent>
          <w:r w:rsidR="00D41B38">
            <w:rPr>
              <w:rFonts w:ascii="MS Gothic" w:eastAsia="MS Gothic" w:hAnsi="MS Gothic" w:cs="Times New Roman" w:hint="eastAsia"/>
              <w:szCs w:val="24"/>
            </w:rPr>
            <w:t>☒</w:t>
          </w:r>
        </w:sdtContent>
      </w:sdt>
      <w:r w:rsidR="00E458FA" w:rsidRPr="00E458FA">
        <w:rPr>
          <w:rFonts w:eastAsia="Times New Roman" w:cs="Times New Roman"/>
          <w:szCs w:val="24"/>
        </w:rPr>
        <w:t xml:space="preserve"> Disagree</w:t>
      </w:r>
      <w:r w:rsidR="00E458FA" w:rsidRPr="00E458FA">
        <w:rPr>
          <w:rFonts w:eastAsia="Times New Roman" w:cs="Times New Roman"/>
          <w:szCs w:val="24"/>
        </w:rPr>
        <w:tab/>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525562819"/>
          <w14:checkbox>
            <w14:checked w14:val="0"/>
            <w14:checkedState w14:val="2612" w14:font="MS Gothic"/>
            <w14:uncheckedState w14:val="2610" w14:font="MS Gothic"/>
          </w14:checkbox>
        </w:sdtPr>
        <w:sdtEnd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w:t>
      </w:r>
      <w:proofErr w:type="gramStart"/>
      <w:r w:rsidR="00E458FA" w:rsidRPr="00E458FA">
        <w:rPr>
          <w:rFonts w:eastAsia="Times New Roman" w:cs="Times New Roman"/>
          <w:szCs w:val="24"/>
        </w:rPr>
        <w:t>Not</w:t>
      </w:r>
      <w:proofErr w:type="gramEnd"/>
      <w:r w:rsidR="00E458FA"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E458FA" w:rsidRDefault="00D41B38" w:rsidP="00E458FA">
      <w:pPr>
        <w:tabs>
          <w:tab w:val="left" w:pos="567"/>
        </w:tabs>
        <w:spacing w:after="288" w:line="240" w:lineRule="auto"/>
        <w:ind w:left="142" w:right="11"/>
        <w:rPr>
          <w:rFonts w:eastAsia="Times New Roman" w:cs="Arial"/>
          <w:szCs w:val="24"/>
        </w:rPr>
      </w:pPr>
      <w:r>
        <w:rPr>
          <w:rFonts w:eastAsia="Times New Roman" w:cs="Arial"/>
          <w:szCs w:val="24"/>
        </w:rPr>
        <w:t xml:space="preserve">This question has little relevance to us as there remains little teaching grant available to the arts and humanities.   But it goes to the heart of our concerns about the architectural redesign expressed in our answer to (a) above, as the options presented suggest that government intends to intervene more closely and in greater detail in the allocation </w:t>
      </w:r>
      <w:r w:rsidR="0023601C">
        <w:rPr>
          <w:rFonts w:eastAsia="Times New Roman" w:cs="Arial"/>
          <w:szCs w:val="24"/>
        </w:rPr>
        <w:t>and expenditure of HE funds, which</w:t>
      </w:r>
      <w:r>
        <w:rPr>
          <w:rFonts w:eastAsia="Times New Roman" w:cs="Arial"/>
          <w:szCs w:val="24"/>
        </w:rPr>
        <w:t xml:space="preserve"> have for a century been deliberately and correctly kept at arm’s length from </w:t>
      </w:r>
      <w:r w:rsidR="001F5E45">
        <w:rPr>
          <w:rFonts w:eastAsia="Times New Roman" w:cs="Arial"/>
          <w:szCs w:val="24"/>
        </w:rPr>
        <w:t xml:space="preserve">short-term </w:t>
      </w:r>
      <w:r w:rsidR="009A0CDC">
        <w:rPr>
          <w:rFonts w:eastAsia="Times New Roman" w:cs="Arial"/>
          <w:szCs w:val="24"/>
        </w:rPr>
        <w:t>ministerial direction</w:t>
      </w:r>
      <w:r>
        <w:rPr>
          <w:rFonts w:eastAsia="Times New Roman" w:cs="Arial"/>
          <w:szCs w:val="24"/>
        </w:rPr>
        <w:t>.</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19: Do you agree with the proposal for a single, transparent and light touch regulatory framework for every higher education provider?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952740566"/>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21630910"/>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84293363"/>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 including how the proposed framework would change the burden on providers.  Please quantify the benefits and/or costs where possible.</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20: What steps could be taken to increase the transparency of student unions and strengthen unions’ accountability to their student members?</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lastRenderedPageBreak/>
        <w:t>Question 21:</w:t>
      </w:r>
    </w:p>
    <w:p w:rsidR="00E458FA" w:rsidRPr="00E458FA" w:rsidRDefault="00E458FA" w:rsidP="00E458FA">
      <w:pPr>
        <w:numPr>
          <w:ilvl w:val="0"/>
          <w:numId w:val="24"/>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duties and powers of the Office for Students?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960189894"/>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778334009"/>
          <w14:checkbox>
            <w14:checked w14:val="1"/>
            <w14:checkedState w14:val="2612" w14:font="MS Gothic"/>
            <w14:uncheckedState w14:val="2610" w14:font="MS Gothic"/>
          </w14:checkbox>
        </w:sdtPr>
        <w:sdtEndPr/>
        <w:sdtContent>
          <w:r w:rsidR="00D41B38">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2080131308"/>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E458FA" w:rsidRDefault="00D41B38" w:rsidP="00E458FA">
      <w:pPr>
        <w:tabs>
          <w:tab w:val="left" w:pos="567"/>
        </w:tabs>
        <w:spacing w:after="288" w:line="240" w:lineRule="auto"/>
        <w:ind w:left="142" w:right="11"/>
        <w:rPr>
          <w:rFonts w:eastAsia="Times New Roman" w:cs="Arial"/>
          <w:szCs w:val="24"/>
        </w:rPr>
      </w:pPr>
      <w:r>
        <w:rPr>
          <w:rFonts w:eastAsia="Times New Roman" w:cs="Arial"/>
          <w:szCs w:val="24"/>
        </w:rPr>
        <w:t>See our answer to q18 above.</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numPr>
          <w:ilvl w:val="0"/>
          <w:numId w:val="24"/>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subscription funding model?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1743217433"/>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50646112"/>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97998353"/>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22: </w:t>
      </w:r>
    </w:p>
    <w:p w:rsidR="00E458FA" w:rsidRPr="00E458FA" w:rsidRDefault="00E458FA" w:rsidP="00E458FA">
      <w:pPr>
        <w:numPr>
          <w:ilvl w:val="0"/>
          <w:numId w:val="25"/>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powers for </w:t>
      </w:r>
      <w:proofErr w:type="spellStart"/>
      <w:r w:rsidRPr="00E458FA">
        <w:rPr>
          <w:rFonts w:eastAsia="Times New Roman" w:cs="Arial"/>
          <w:szCs w:val="24"/>
        </w:rPr>
        <w:t>OfS</w:t>
      </w:r>
      <w:proofErr w:type="spellEnd"/>
      <w:r w:rsidRPr="00E458FA">
        <w:rPr>
          <w:rFonts w:eastAsia="Times New Roman" w:cs="Arial"/>
          <w:szCs w:val="24"/>
        </w:rPr>
        <w:t xml:space="preserve"> and the Secretary of State to manage risk?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973100556"/>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26043094"/>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282237460"/>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numPr>
          <w:ilvl w:val="0"/>
          <w:numId w:val="25"/>
        </w:numPr>
        <w:tabs>
          <w:tab w:val="left" w:pos="567"/>
        </w:tabs>
        <w:spacing w:after="288" w:line="240" w:lineRule="auto"/>
        <w:ind w:right="11"/>
        <w:rPr>
          <w:rFonts w:eastAsia="Times New Roman" w:cs="Arial"/>
          <w:szCs w:val="24"/>
        </w:rPr>
      </w:pPr>
      <w:r w:rsidRPr="00E458FA">
        <w:rPr>
          <w:rFonts w:eastAsia="Times New Roman" w:cs="Arial"/>
          <w:szCs w:val="24"/>
        </w:rPr>
        <w:t>What safeguards for providers should be considered to limit the use of such powers?</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23: Do you agree with the proposed deregulatory measures?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217630817"/>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38669189"/>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475714231"/>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lastRenderedPageBreak/>
        <w:t>Please give reasons for your answer, including how the proposals would change the burden on providers.  Please quantify the benefits and/or costs where possible.</w:t>
      </w: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numPr>
          <w:ilvl w:val="1"/>
          <w:numId w:val="0"/>
        </w:numPr>
        <w:spacing w:after="288" w:line="240" w:lineRule="auto"/>
        <w:ind w:left="142"/>
        <w:rPr>
          <w:rFonts w:eastAsiaTheme="majorEastAsia" w:cstheme="majorBidi"/>
          <w:b/>
          <w:iCs/>
          <w:color w:val="4F81BD" w:themeColor="accent1"/>
          <w:spacing w:val="15"/>
          <w:sz w:val="26"/>
          <w:szCs w:val="24"/>
          <w:u w:val="single"/>
        </w:rPr>
      </w:pPr>
    </w:p>
    <w:p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4" w:name="_Toc434412502"/>
      <w:r w:rsidRPr="00E458FA">
        <w:rPr>
          <w:rFonts w:eastAsia="Times New Roman" w:cs="Times New Roman"/>
          <w:b/>
          <w:bCs/>
          <w:color w:val="009BBB"/>
          <w:sz w:val="26"/>
          <w:szCs w:val="26"/>
        </w:rPr>
        <w:t>Reducing complexity and bureaucracy in research funding (Part D)</w:t>
      </w:r>
      <w:bookmarkEnd w:id="14"/>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24: In light of the proposed changes to the institutional framework for higher education, and the forthcoming Nurse Review, what are your views on the future design of the institutional research landscape?</w:t>
      </w:r>
    </w:p>
    <w:p w:rsidR="00E458FA" w:rsidRPr="00E458FA" w:rsidRDefault="00D41B38" w:rsidP="00E458FA">
      <w:pPr>
        <w:tabs>
          <w:tab w:val="left" w:pos="567"/>
        </w:tabs>
        <w:spacing w:after="288" w:line="240" w:lineRule="auto"/>
        <w:ind w:left="142" w:right="11"/>
        <w:rPr>
          <w:rFonts w:eastAsia="Times New Roman" w:cs="Arial"/>
          <w:szCs w:val="24"/>
        </w:rPr>
      </w:pPr>
      <w:r>
        <w:rPr>
          <w:rFonts w:eastAsia="Times New Roman" w:cs="Arial"/>
          <w:szCs w:val="24"/>
        </w:rPr>
        <w:t>See our answer to q18 above.</w:t>
      </w:r>
    </w:p>
    <w:p w:rsidR="00E458FA" w:rsidRPr="00E458FA" w:rsidRDefault="00E458FA" w:rsidP="00E458FA">
      <w:pPr>
        <w:tabs>
          <w:tab w:val="left" w:pos="567"/>
        </w:tabs>
        <w:spacing w:after="288" w:line="240" w:lineRule="auto"/>
        <w:ind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25:</w:t>
      </w:r>
    </w:p>
    <w:p w:rsidR="00E458FA" w:rsidRPr="00E458FA" w:rsidRDefault="00E458FA" w:rsidP="00E458FA">
      <w:pPr>
        <w:numPr>
          <w:ilvl w:val="0"/>
          <w:numId w:val="26"/>
        </w:numPr>
        <w:tabs>
          <w:tab w:val="left" w:pos="567"/>
        </w:tabs>
        <w:spacing w:after="288" w:line="240" w:lineRule="auto"/>
        <w:ind w:right="11"/>
        <w:rPr>
          <w:rFonts w:eastAsia="Times New Roman" w:cs="Arial"/>
          <w:szCs w:val="24"/>
        </w:rPr>
      </w:pPr>
      <w:r w:rsidRPr="00E458FA">
        <w:rPr>
          <w:rFonts w:eastAsia="Times New Roman" w:cs="Arial"/>
          <w:szCs w:val="24"/>
        </w:rPr>
        <w:t>What safeguards would you want to see in place in the event that dual funding was operated within a single organisation?</w:t>
      </w:r>
    </w:p>
    <w:p w:rsidR="00E458FA" w:rsidRPr="00E458FA" w:rsidRDefault="00D41B38" w:rsidP="00E458FA">
      <w:pPr>
        <w:tabs>
          <w:tab w:val="left" w:pos="567"/>
        </w:tabs>
        <w:spacing w:after="288" w:line="240" w:lineRule="auto"/>
        <w:ind w:left="142" w:right="11"/>
        <w:rPr>
          <w:rFonts w:eastAsia="Times New Roman" w:cs="Arial"/>
          <w:szCs w:val="24"/>
        </w:rPr>
      </w:pPr>
      <w:r>
        <w:rPr>
          <w:rFonts w:eastAsia="Times New Roman" w:cs="Arial"/>
          <w:szCs w:val="24"/>
        </w:rPr>
        <w:t>See our answer to q18 above.</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numPr>
          <w:ilvl w:val="0"/>
          <w:numId w:val="26"/>
        </w:numPr>
        <w:tabs>
          <w:tab w:val="left" w:pos="567"/>
        </w:tabs>
        <w:spacing w:after="288" w:line="240" w:lineRule="auto"/>
        <w:ind w:right="11"/>
        <w:rPr>
          <w:rFonts w:eastAsia="Times New Roman" w:cs="Arial"/>
          <w:szCs w:val="24"/>
        </w:rPr>
      </w:pPr>
      <w:r w:rsidRPr="00E458FA">
        <w:rPr>
          <w:rFonts w:eastAsia="Times New Roman" w:cs="Arial"/>
          <w:szCs w:val="24"/>
        </w:rPr>
        <w:t xml:space="preserve">Would you favour a degree of hypothecation to ensure that dual funding streams, along with their distinctive characteristics, could not be changed by that organisation?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617647884"/>
          <w14:checkbox>
            <w14:checked w14:val="1"/>
            <w14:checkedState w14:val="2612" w14:font="MS Gothic"/>
            <w14:uncheckedState w14:val="2610" w14:font="MS Gothic"/>
          </w14:checkbox>
        </w:sdtPr>
        <w:sdtEndPr/>
        <w:sdtContent>
          <w:r w:rsidR="00D41B38">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675464568"/>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37283413"/>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rsidR="00E458FA" w:rsidRDefault="00E458FA" w:rsidP="00E458FA">
      <w:pPr>
        <w:tabs>
          <w:tab w:val="left" w:pos="567"/>
        </w:tabs>
        <w:spacing w:after="288" w:line="240" w:lineRule="auto"/>
        <w:ind w:left="502" w:right="11"/>
        <w:rPr>
          <w:rFonts w:eastAsia="Times New Roman" w:cs="Arial"/>
          <w:szCs w:val="24"/>
        </w:rPr>
      </w:pPr>
      <w:r w:rsidRPr="00E458FA">
        <w:rPr>
          <w:rFonts w:eastAsia="Times New Roman" w:cs="Arial"/>
          <w:szCs w:val="24"/>
        </w:rPr>
        <w:t>Please give reasons for your answer</w:t>
      </w:r>
    </w:p>
    <w:p w:rsidR="00D41B38" w:rsidRDefault="00D41B38" w:rsidP="00E458FA">
      <w:pPr>
        <w:tabs>
          <w:tab w:val="left" w:pos="567"/>
        </w:tabs>
        <w:spacing w:after="288" w:line="240" w:lineRule="auto"/>
        <w:ind w:left="502" w:right="11"/>
        <w:rPr>
          <w:rFonts w:eastAsia="Times New Roman" w:cs="Arial"/>
          <w:szCs w:val="24"/>
        </w:rPr>
      </w:pPr>
    </w:p>
    <w:p w:rsidR="00D41B38" w:rsidRDefault="00D41B38" w:rsidP="00E458FA">
      <w:pPr>
        <w:tabs>
          <w:tab w:val="left" w:pos="567"/>
        </w:tabs>
        <w:spacing w:after="288" w:line="240" w:lineRule="auto"/>
        <w:ind w:left="502" w:right="11"/>
        <w:rPr>
          <w:rFonts w:eastAsia="Times New Roman" w:cs="Arial"/>
          <w:szCs w:val="24"/>
        </w:rPr>
      </w:pPr>
      <w:r>
        <w:rPr>
          <w:rFonts w:eastAsia="Times New Roman" w:cs="Arial"/>
          <w:szCs w:val="24"/>
        </w:rPr>
        <w:t>See our answer to q18 above.  It would not be necessary of course to hypothecate if the dual funding streams were preserved in the regulatory architecture, as we recommend above.   We note that the Nurse Review has since recommended that the balance between the dual funding streams ought also to be protected from short-term governmental manipulation.</w:t>
      </w:r>
    </w:p>
    <w:p w:rsidR="00D41B38" w:rsidRDefault="00D41B38" w:rsidP="00E458FA">
      <w:pPr>
        <w:tabs>
          <w:tab w:val="left" w:pos="567"/>
        </w:tabs>
        <w:spacing w:after="288" w:line="240" w:lineRule="auto"/>
        <w:ind w:left="502" w:right="11"/>
        <w:rPr>
          <w:rFonts w:eastAsia="Times New Roman" w:cs="Arial"/>
          <w:szCs w:val="24"/>
        </w:rPr>
      </w:pPr>
    </w:p>
    <w:p w:rsidR="00D41B38" w:rsidRPr="00E458FA" w:rsidRDefault="00D41B38" w:rsidP="00E458FA">
      <w:pPr>
        <w:tabs>
          <w:tab w:val="left" w:pos="567"/>
        </w:tabs>
        <w:spacing w:after="288" w:line="240" w:lineRule="auto"/>
        <w:ind w:left="50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26: What are the benefits of the REF to a) your institution and b) to the wider sector? How can we ensure they are preserved?</w:t>
      </w:r>
    </w:p>
    <w:p w:rsidR="00D41B38" w:rsidRDefault="00D41B38" w:rsidP="00E458FA">
      <w:pPr>
        <w:tabs>
          <w:tab w:val="left" w:pos="567"/>
        </w:tabs>
        <w:spacing w:after="288" w:line="240" w:lineRule="auto"/>
        <w:ind w:left="142" w:right="11"/>
        <w:rPr>
          <w:rFonts w:eastAsia="Times New Roman" w:cs="Arial"/>
          <w:szCs w:val="24"/>
        </w:rPr>
      </w:pPr>
    </w:p>
    <w:p w:rsidR="00D41B38" w:rsidRDefault="00D41B38" w:rsidP="00E458FA">
      <w:pPr>
        <w:tabs>
          <w:tab w:val="left" w:pos="567"/>
        </w:tabs>
        <w:spacing w:after="288" w:line="240" w:lineRule="auto"/>
        <w:ind w:left="142" w:right="11"/>
        <w:rPr>
          <w:rFonts w:eastAsia="Times New Roman" w:cs="Arial"/>
          <w:szCs w:val="24"/>
        </w:rPr>
      </w:pPr>
      <w:r>
        <w:rPr>
          <w:rFonts w:eastAsia="Times New Roman" w:cs="Arial"/>
          <w:szCs w:val="24"/>
        </w:rPr>
        <w:t>As we note above, the arts and humanities rely heavily on QR</w:t>
      </w:r>
      <w:r w:rsidR="00D4469F">
        <w:rPr>
          <w:rFonts w:eastAsia="Times New Roman" w:cs="Arial"/>
          <w:szCs w:val="24"/>
        </w:rPr>
        <w:t xml:space="preserve"> – 85% of our UK government research funding derives from this source and only 15% from the resear</w:t>
      </w:r>
      <w:r w:rsidR="00062321">
        <w:rPr>
          <w:rFonts w:eastAsia="Times New Roman" w:cs="Arial"/>
          <w:szCs w:val="24"/>
        </w:rPr>
        <w:t>ch councils.   This is consistent</w:t>
      </w:r>
      <w:r w:rsidR="00D4469F">
        <w:rPr>
          <w:rFonts w:eastAsia="Times New Roman" w:cs="Arial"/>
          <w:szCs w:val="24"/>
        </w:rPr>
        <w:t xml:space="preserve"> with the greater prevalence of individual rather than team or laboratory-based research and the need for well-distributed infrastructure to support it (libraries, archives, museums, </w:t>
      </w:r>
      <w:r w:rsidR="00062321">
        <w:rPr>
          <w:rFonts w:eastAsia="Times New Roman" w:cs="Arial"/>
          <w:szCs w:val="24"/>
        </w:rPr>
        <w:t xml:space="preserve">studios, </w:t>
      </w:r>
      <w:r w:rsidR="00D4469F">
        <w:rPr>
          <w:rFonts w:eastAsia="Times New Roman" w:cs="Arial"/>
          <w:szCs w:val="24"/>
        </w:rPr>
        <w:t xml:space="preserve">study leave, small grants), and also with the more widely distributed nature of the research (less concentrated in certain types of institutions, with less obvious ‘strategic’ focus, requiring less coordinated prioritising).   </w:t>
      </w:r>
    </w:p>
    <w:p w:rsidR="00D4469F" w:rsidRDefault="00D4469F" w:rsidP="00E458FA">
      <w:pPr>
        <w:tabs>
          <w:tab w:val="left" w:pos="567"/>
        </w:tabs>
        <w:spacing w:after="288" w:line="240" w:lineRule="auto"/>
        <w:ind w:left="142" w:right="11"/>
        <w:rPr>
          <w:rFonts w:eastAsia="Times New Roman" w:cs="Arial"/>
          <w:szCs w:val="24"/>
        </w:rPr>
      </w:pPr>
      <w:r>
        <w:rPr>
          <w:rFonts w:eastAsia="Times New Roman" w:cs="Arial"/>
          <w:szCs w:val="24"/>
        </w:rPr>
        <w:t>To distribute QR widely and equitably, some mechanism such as the REF is clearly necessary.  But there is a danger that</w:t>
      </w:r>
      <w:r w:rsidR="004D1E32">
        <w:rPr>
          <w:rFonts w:eastAsia="Times New Roman" w:cs="Arial"/>
          <w:szCs w:val="24"/>
        </w:rPr>
        <w:t>,</w:t>
      </w:r>
      <w:r>
        <w:rPr>
          <w:rFonts w:eastAsia="Times New Roman" w:cs="Arial"/>
          <w:szCs w:val="24"/>
        </w:rPr>
        <w:t xml:space="preserve"> in pursuit of probably illusory cost-cutting goals</w:t>
      </w:r>
      <w:r w:rsidR="004D1E32">
        <w:rPr>
          <w:rFonts w:eastAsia="Times New Roman" w:cs="Arial"/>
          <w:szCs w:val="24"/>
        </w:rPr>
        <w:t>,</w:t>
      </w:r>
      <w:r>
        <w:rPr>
          <w:rFonts w:eastAsia="Times New Roman" w:cs="Arial"/>
          <w:szCs w:val="24"/>
        </w:rPr>
        <w:t xml:space="preserve"> attempts to standardize and/or </w:t>
      </w:r>
      <w:proofErr w:type="spellStart"/>
      <w:r>
        <w:rPr>
          <w:rFonts w:eastAsia="Times New Roman" w:cs="Arial"/>
          <w:szCs w:val="24"/>
        </w:rPr>
        <w:t>metricate</w:t>
      </w:r>
      <w:proofErr w:type="spellEnd"/>
      <w:r>
        <w:rPr>
          <w:rFonts w:eastAsia="Times New Roman" w:cs="Arial"/>
          <w:szCs w:val="24"/>
        </w:rPr>
        <w:t xml:space="preserve"> the REF will sap its ability to assess and meet the needs of different disciplines appropriately.   There have been a few striking instances recently where attempts to standardize the REF have backfired seriously – e.g. the proposed universal application of Open Access standards based on STEM practices.</w:t>
      </w:r>
    </w:p>
    <w:p w:rsidR="00D4469F" w:rsidRPr="00E458FA" w:rsidRDefault="00D4469F" w:rsidP="00E458FA">
      <w:pPr>
        <w:tabs>
          <w:tab w:val="left" w:pos="567"/>
        </w:tabs>
        <w:spacing w:after="288" w:line="240" w:lineRule="auto"/>
        <w:ind w:left="142" w:right="11"/>
        <w:rPr>
          <w:rFonts w:eastAsia="Times New Roman" w:cs="Arial"/>
          <w:szCs w:val="24"/>
        </w:rPr>
      </w:pPr>
      <w:r>
        <w:rPr>
          <w:rFonts w:eastAsia="Times New Roman" w:cs="Arial"/>
          <w:szCs w:val="24"/>
        </w:rPr>
        <w:t xml:space="preserve">We look forward to the results of the Stern Review which we hope will find a means of retaining disciplinary sensitivity </w:t>
      </w:r>
      <w:r w:rsidR="008553AF">
        <w:rPr>
          <w:rFonts w:eastAsia="Times New Roman" w:cs="Arial"/>
          <w:szCs w:val="24"/>
        </w:rPr>
        <w:t xml:space="preserve">and the centrality of peer review </w:t>
      </w:r>
      <w:r>
        <w:rPr>
          <w:rFonts w:eastAsia="Times New Roman" w:cs="Arial"/>
          <w:szCs w:val="24"/>
        </w:rPr>
        <w:t>while reducing the regulatory burden.</w:t>
      </w:r>
      <w:r w:rsidR="008553AF">
        <w:rPr>
          <w:rFonts w:eastAsia="Times New Roman" w:cs="Arial"/>
          <w:szCs w:val="24"/>
        </w:rPr>
        <w:t xml:space="preserve">   Finally we would reiterate the warning we offered at the outset under q2 about the dangers of adding through the TEF new regulatory burdens (and distortions of good practice) at just the time that a re-think of the impact of regulation is quite rightly being offered with regard to the REF.</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27: How would you suggest the burden of REF exercises is reduced?</w:t>
      </w:r>
    </w:p>
    <w:p w:rsidR="00D4469F" w:rsidRPr="00E458FA" w:rsidRDefault="00D4469F"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Times New Roman"/>
          <w:bCs/>
          <w:iCs/>
          <w:szCs w:val="24"/>
        </w:rPr>
      </w:pPr>
    </w:p>
    <w:p w:rsidR="00E458FA" w:rsidRPr="00E458FA" w:rsidRDefault="00E458FA" w:rsidP="00E458FA">
      <w:pPr>
        <w:tabs>
          <w:tab w:val="left" w:pos="567"/>
        </w:tabs>
        <w:spacing w:after="288" w:line="240" w:lineRule="auto"/>
        <w:ind w:left="142" w:right="11"/>
        <w:rPr>
          <w:rFonts w:eastAsia="Times New Roman" w:cs="Times New Roman"/>
          <w:bCs/>
          <w:iCs/>
          <w:szCs w:val="24"/>
        </w:rPr>
      </w:pPr>
    </w:p>
    <w:p w:rsidR="00E458FA" w:rsidRPr="00E458FA" w:rsidRDefault="00E458FA" w:rsidP="00E458FA">
      <w:pPr>
        <w:tabs>
          <w:tab w:val="left" w:pos="567"/>
        </w:tabs>
        <w:spacing w:after="288" w:line="240" w:lineRule="auto"/>
        <w:ind w:left="142" w:right="11"/>
        <w:rPr>
          <w:rFonts w:eastAsia="Times New Roman" w:cs="Times New Roman"/>
          <w:bCs/>
          <w:iCs/>
          <w:szCs w:val="24"/>
        </w:rPr>
      </w:pPr>
    </w:p>
    <w:p w:rsidR="00E458FA" w:rsidRPr="00E458FA" w:rsidRDefault="00E458FA" w:rsidP="00E458FA">
      <w:pPr>
        <w:tabs>
          <w:tab w:val="left" w:pos="567"/>
        </w:tabs>
        <w:spacing w:after="288" w:line="240" w:lineRule="auto"/>
        <w:ind w:left="142" w:right="11"/>
        <w:rPr>
          <w:rFonts w:eastAsia="Times New Roman" w:cs="Times New Roman"/>
          <w:bCs/>
          <w:iCs/>
          <w:szCs w:val="24"/>
        </w:rPr>
      </w:pPr>
      <w:r w:rsidRPr="00E458FA">
        <w:rPr>
          <w:rFonts w:eastAsia="Times New Roman" w:cs="Times New Roman"/>
          <w:bCs/>
          <w:iCs/>
          <w:szCs w:val="24"/>
        </w:rPr>
        <w:lastRenderedPageBreak/>
        <w:t xml:space="preserve">Question 28: How could the data infrastructure underpinning research information management </w:t>
      </w:r>
      <w:proofErr w:type="gramStart"/>
      <w:r w:rsidRPr="00E458FA">
        <w:rPr>
          <w:rFonts w:eastAsia="Times New Roman" w:cs="Times New Roman"/>
          <w:bCs/>
          <w:iCs/>
          <w:szCs w:val="24"/>
        </w:rPr>
        <w:t>be</w:t>
      </w:r>
      <w:proofErr w:type="gramEnd"/>
      <w:r w:rsidRPr="00E458FA">
        <w:rPr>
          <w:rFonts w:eastAsia="Times New Roman" w:cs="Times New Roman"/>
          <w:bCs/>
          <w:iCs/>
          <w:szCs w:val="24"/>
        </w:rPr>
        <w:t xml:space="preserve"> improved? </w:t>
      </w: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b/>
          <w:szCs w:val="24"/>
        </w:rPr>
      </w:pPr>
      <w:bookmarkStart w:id="15" w:name="_Toc222902189"/>
      <w:bookmarkStart w:id="16" w:name="_Toc337743660"/>
      <w:bookmarkStart w:id="17" w:name="_Toc426987240"/>
      <w:r w:rsidRPr="00E458FA">
        <w:rPr>
          <w:rFonts w:eastAsia="Times New Roman" w:cs="Times New Roman"/>
          <w:b/>
          <w:szCs w:val="24"/>
        </w:rPr>
        <w:t>Do you have any other comments that might aid the consultation process as a whole?</w:t>
      </w:r>
      <w:bookmarkEnd w:id="15"/>
      <w:bookmarkEnd w:id="16"/>
      <w:bookmarkEnd w:id="17"/>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Please use this space for any general comments that you may have, comments on the layout of this consultation would also be welcomed.</w:t>
      </w:r>
    </w:p>
    <w:p w:rsidR="00E458FA" w:rsidRPr="00E458FA" w:rsidRDefault="00E458FA" w:rsidP="00E458FA">
      <w:pPr>
        <w:spacing w:after="288" w:line="240" w:lineRule="auto"/>
        <w:ind w:left="142"/>
        <w:rPr>
          <w:rFonts w:eastAsia="Times New Roman" w:cs="Times New Roman"/>
          <w:szCs w:val="24"/>
        </w:rPr>
      </w:pPr>
    </w:p>
    <w:p w:rsidR="00E458FA" w:rsidRPr="00E458FA" w:rsidRDefault="00D4469F" w:rsidP="00E458FA">
      <w:pPr>
        <w:spacing w:after="288" w:line="240" w:lineRule="auto"/>
        <w:ind w:left="142"/>
        <w:rPr>
          <w:rFonts w:eastAsia="Times New Roman" w:cs="Times New Roman"/>
          <w:szCs w:val="24"/>
        </w:rPr>
      </w:pPr>
      <w:r>
        <w:rPr>
          <w:rFonts w:eastAsia="Times New Roman" w:cs="Times New Roman"/>
          <w:szCs w:val="24"/>
        </w:rPr>
        <w:t>It would be useful for all such consultations to start with a box in which the submitting body can describe its specific remit and concerns (which might also explain why some questions can be more fully answered than others).</w:t>
      </w: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Thank you for your views on this consultation. </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Thank you for taking the time to let us have your views. We do not intend to acknowledge receipt of individual responses unless you tick the box below. </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Please acknowledge this reply </w:t>
      </w:r>
      <w:sdt>
        <w:sdtPr>
          <w:rPr>
            <w:rFonts w:eastAsia="Times New Roman" w:cs="Times New Roman"/>
            <w:szCs w:val="24"/>
          </w:rPr>
          <w:id w:val="-44844798"/>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At BIS we carry out our research on many different topics and consultations. As your views are valuable to us, would it be okay if we were to contact you again from time to time either for research or to send through consultation documents? </w:t>
      </w:r>
    </w:p>
    <w:p w:rsidR="00E577FA" w:rsidRDefault="00273B72" w:rsidP="00E458FA">
      <w:pPr>
        <w:spacing w:after="288" w:line="240" w:lineRule="auto"/>
        <w:ind w:left="142"/>
        <w:rPr>
          <w:rFonts w:eastAsia="Times New Roman" w:cs="Times New Roman"/>
          <w:szCs w:val="24"/>
        </w:rPr>
      </w:pPr>
      <w:sdt>
        <w:sdtPr>
          <w:rPr>
            <w:rFonts w:eastAsia="Times New Roman" w:cs="Times New Roman"/>
            <w:szCs w:val="24"/>
          </w:rPr>
          <w:id w:val="-924029108"/>
          <w14:checkbox>
            <w14:checked w14:val="1"/>
            <w14:checkedState w14:val="2612" w14:font="MS Gothic"/>
            <w14:uncheckedState w14:val="2610" w14:font="MS Gothic"/>
          </w14:checkbox>
        </w:sdtPr>
        <w:sdtEndPr/>
        <w:sdtContent>
          <w:r w:rsidR="00D4469F">
            <w:rPr>
              <w:rFonts w:ascii="MS Gothic" w:eastAsia="MS Gothic" w:hAnsi="MS Gothic" w:cs="Times New Roman" w:hint="eastAsia"/>
              <w:szCs w:val="24"/>
            </w:rPr>
            <w:t>☒</w:t>
          </w:r>
        </w:sdtContent>
      </w:sdt>
      <w:r w:rsidR="00E458FA" w:rsidRPr="00E458FA">
        <w:rPr>
          <w:rFonts w:eastAsia="Times New Roman" w:cs="Times New Roman"/>
          <w:szCs w:val="24"/>
        </w:rPr>
        <w:t xml:space="preserve">Yes    </w:t>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932185986"/>
          <w14:checkbox>
            <w14:checked w14:val="0"/>
            <w14:checkedState w14:val="2612" w14:font="MS Gothic"/>
            <w14:uncheckedState w14:val="2610" w14:font="MS Gothic"/>
          </w14:checkbox>
        </w:sdtPr>
        <w:sdtEnd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No</w:t>
      </w:r>
    </w:p>
    <w:p w:rsidR="00323663" w:rsidRDefault="00323663" w:rsidP="00E458FA">
      <w:pPr>
        <w:spacing w:after="288" w:line="240" w:lineRule="auto"/>
        <w:ind w:left="142"/>
      </w:pPr>
      <w:r>
        <w:rPr>
          <w:rFonts w:eastAsia="Times New Roman" w:cs="Times New Roman"/>
          <w:b/>
          <w:szCs w:val="24"/>
        </w:rPr>
        <w:t>BIS/15/623/RF</w:t>
      </w:r>
    </w:p>
    <w:sectPr w:rsidR="00323663">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3B72" w:rsidRDefault="00273B72">
      <w:pPr>
        <w:spacing w:after="0" w:line="240" w:lineRule="auto"/>
      </w:pPr>
      <w:r>
        <w:separator/>
      </w:r>
    </w:p>
  </w:endnote>
  <w:endnote w:type="continuationSeparator" w:id="0">
    <w:p w:rsidR="00273B72" w:rsidRDefault="00273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69F" w:rsidRDefault="00D446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69F" w:rsidRDefault="00D446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69F" w:rsidRDefault="00D446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3B72" w:rsidRDefault="00273B72">
      <w:pPr>
        <w:spacing w:after="0" w:line="240" w:lineRule="auto"/>
      </w:pPr>
      <w:r>
        <w:separator/>
      </w:r>
    </w:p>
  </w:footnote>
  <w:footnote w:type="continuationSeparator" w:id="0">
    <w:p w:rsidR="00273B72" w:rsidRDefault="00273B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69F" w:rsidRPr="00A95640" w:rsidRDefault="00D4469F" w:rsidP="00D4469F">
    <w:pPr>
      <w:pStyle w:val="BISEvenHeader"/>
    </w:pPr>
    <w:r>
      <w:rPr>
        <w:noProof/>
        <w:lang w:eastAsia="en-GB"/>
      </w:rPr>
      <mc:AlternateContent>
        <mc:Choice Requires="wps">
          <w:drawing>
            <wp:anchor distT="0" distB="0" distL="114300" distR="114300" simplePos="0" relativeHeight="251661312" behindDoc="0" locked="0" layoutInCell="1" allowOverlap="1" wp14:anchorId="145CE5C8" wp14:editId="4AE7EB5E">
              <wp:simplePos x="0" y="0"/>
              <wp:positionH relativeFrom="page">
                <wp:posOffset>0</wp:posOffset>
              </wp:positionH>
              <wp:positionV relativeFrom="page">
                <wp:posOffset>431800</wp:posOffset>
              </wp:positionV>
              <wp:extent cx="7560310" cy="0"/>
              <wp:effectExtent l="0" t="0" r="0" b="0"/>
              <wp:wrapTight wrapText="bothSides">
                <wp:wrapPolygon edited="0">
                  <wp:start x="2" y="-2147483648"/>
                  <wp:lineTo x="689" y="-2147483648"/>
                  <wp:lineTo x="689" y="-2147483648"/>
                  <wp:lineTo x="2" y="-2147483648"/>
                  <wp:lineTo x="2" y="-2147483648"/>
                </wp:wrapPolygon>
              </wp:wrapTight>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12700">
                        <a:solidFill>
                          <a:srgbClr val="00347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34pt" to="595.3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" strokecolor="#003478" strokeweight="1pt">
              <w10:wrap type="tight" anchorx="page" anchory="page"/>
            </v:line>
          </w:pict>
        </mc:Fallback>
      </mc:AlternateContent>
    </w:r>
    <w:r>
      <w:t>BIS</w:t>
    </w:r>
    <w:r w:rsidRPr="00A95640">
      <w:t xml:space="preserve"> running header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69F" w:rsidRPr="00D90412" w:rsidRDefault="00D4469F" w:rsidP="00D4469F">
    <w:pPr>
      <w:pStyle w:val="BISOddHeader"/>
    </w:pPr>
    <w:r>
      <w:rPr>
        <w:noProof/>
        <w:lang w:eastAsia="en-GB"/>
      </w:rPr>
      <mc:AlternateContent>
        <mc:Choice Requires="wps">
          <w:drawing>
            <wp:anchor distT="0" distB="0" distL="114300" distR="114300" simplePos="0" relativeHeight="251662336" behindDoc="0" locked="0" layoutInCell="1" allowOverlap="1" wp14:anchorId="3E3D5A74" wp14:editId="52C3DDCB">
              <wp:simplePos x="0" y="0"/>
              <wp:positionH relativeFrom="page">
                <wp:posOffset>0</wp:posOffset>
              </wp:positionH>
              <wp:positionV relativeFrom="page">
                <wp:posOffset>431800</wp:posOffset>
              </wp:positionV>
              <wp:extent cx="7560310" cy="0"/>
              <wp:effectExtent l="0" t="0" r="0" b="0"/>
              <wp:wrapTight wrapText="bothSides">
                <wp:wrapPolygon edited="0">
                  <wp:start x="2" y="-2147483648"/>
                  <wp:lineTo x="689" y="-2147483648"/>
                  <wp:lineTo x="689" y="-2147483648"/>
                  <wp:lineTo x="2" y="-2147483648"/>
                  <wp:lineTo x="2" y="-2147483648"/>
                </wp:wrapPolygon>
              </wp:wrapTight>
              <wp:docPr id="2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12700">
                        <a:solidFill>
                          <a:srgbClr val="00AE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34pt" to="595.3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" strokecolor="#00aeef" strokeweight="1pt">
              <w10:wrap type="tight" anchorx="page" anchory="page"/>
            </v:line>
          </w:pict>
        </mc:Fallback>
      </mc:AlternateContent>
    </w:r>
    <w:r>
      <w:t>Fulfilling our Potential: Teaching Excellence, Social Mobility and Student Choice</w:t>
    </w:r>
  </w:p>
  <w:p w:rsidR="00D4469F" w:rsidRPr="003A1E6F" w:rsidRDefault="00D4469F" w:rsidP="00D446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69F" w:rsidRDefault="00D446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E036E"/>
    <w:multiLevelType w:val="hybridMultilevel"/>
    <w:tmpl w:val="12FC895E"/>
    <w:lvl w:ilvl="0" w:tplc="1FAA2BE4">
      <w:start w:val="1"/>
      <w:numFmt w:val="decimal"/>
      <w:pStyle w:val="Bullet1st"/>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36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9844948"/>
    <w:multiLevelType w:val="hybridMultilevel"/>
    <w:tmpl w:val="3F343658"/>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nsid w:val="0C651E14"/>
    <w:multiLevelType w:val="hybridMultilevel"/>
    <w:tmpl w:val="1186BBC6"/>
    <w:lvl w:ilvl="0" w:tplc="A2484736">
      <w:start w:val="1"/>
      <w:numFmt w:val="bullet"/>
      <w:pStyle w:val="Question"/>
      <w:lvlText w:val=""/>
      <w:lvlJc w:val="left"/>
      <w:pPr>
        <w:ind w:left="4046" w:hanging="360"/>
      </w:pPr>
      <w:rPr>
        <w:rFonts w:ascii="Symbol" w:hAnsi="Symbol" w:hint="default"/>
      </w:rPr>
    </w:lvl>
    <w:lvl w:ilvl="1" w:tplc="08090003">
      <w:start w:val="1"/>
      <w:numFmt w:val="bullet"/>
      <w:pStyle w:val="Bullet2ndinden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nsid w:val="1ACC4BE7"/>
    <w:multiLevelType w:val="hybridMultilevel"/>
    <w:tmpl w:val="AA146D74"/>
    <w:lvl w:ilvl="0" w:tplc="F8DA5E58">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
    <w:nsid w:val="49493F89"/>
    <w:multiLevelType w:val="hybridMultilevel"/>
    <w:tmpl w:val="5C709D34"/>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nsid w:val="49F2051B"/>
    <w:multiLevelType w:val="hybridMultilevel"/>
    <w:tmpl w:val="D638DAD6"/>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
    <w:nsid w:val="4A776AC0"/>
    <w:multiLevelType w:val="hybridMultilevel"/>
    <w:tmpl w:val="0BAC1EAE"/>
    <w:lvl w:ilvl="0" w:tplc="BCD8522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nsid w:val="4B652CAF"/>
    <w:multiLevelType w:val="hybridMultilevel"/>
    <w:tmpl w:val="3F343658"/>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nsid w:val="5F8830A2"/>
    <w:multiLevelType w:val="hybridMultilevel"/>
    <w:tmpl w:val="B9FA55AC"/>
    <w:lvl w:ilvl="0" w:tplc="720EF474">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nsid w:val="6A3E1529"/>
    <w:multiLevelType w:val="hybridMultilevel"/>
    <w:tmpl w:val="F54C2F5A"/>
    <w:lvl w:ilvl="0" w:tplc="08090001">
      <w:start w:val="1"/>
      <w:numFmt w:val="bullet"/>
      <w:lvlText w:val=""/>
      <w:lvlJc w:val="left"/>
      <w:pPr>
        <w:ind w:left="360" w:hanging="360"/>
      </w:pPr>
      <w:rPr>
        <w:rFonts w:ascii="Symbol" w:hAnsi="Symbol" w:hint="default"/>
      </w:rPr>
    </w:lvl>
    <w:lvl w:ilvl="1" w:tplc="EFB207F8">
      <w:numFmt w:val="bullet"/>
      <w:lvlText w:val="-"/>
      <w:lvlJc w:val="left"/>
      <w:pPr>
        <w:ind w:left="1080" w:hanging="360"/>
      </w:pPr>
      <w:rPr>
        <w:rFonts w:ascii="Arial" w:eastAsia="Times New Roman" w:hAnsi="Arial" w:cs="Aria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6BAF6A3D"/>
    <w:multiLevelType w:val="hybridMultilevel"/>
    <w:tmpl w:val="A9F6DE6E"/>
    <w:lvl w:ilvl="0" w:tplc="70281D98">
      <w:start w:val="1"/>
      <w:numFmt w:val="lowerLetter"/>
      <w:lvlText w:val="%1)"/>
      <w:lvlJc w:val="left"/>
      <w:pPr>
        <w:ind w:left="502" w:hanging="360"/>
      </w:pPr>
      <w:rPr>
        <w:rFonts w:cs="Aria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nsid w:val="7DD81714"/>
    <w:multiLevelType w:val="hybridMultilevel"/>
    <w:tmpl w:val="FCAAA752"/>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2"/>
  </w:num>
  <w:num w:numId="2">
    <w:abstractNumId w:val="9"/>
  </w:num>
  <w:num w:numId="3">
    <w:abstractNumId w:val="0"/>
  </w:num>
  <w:num w:numId="4">
    <w:abstractNumId w:val="2"/>
  </w:num>
  <w:num w:numId="5">
    <w:abstractNumId w:val="9"/>
  </w:num>
  <w:num w:numId="6">
    <w:abstractNumId w:val="0"/>
  </w:num>
  <w:num w:numId="7">
    <w:abstractNumId w:val="2"/>
  </w:num>
  <w:num w:numId="8">
    <w:abstractNumId w:val="0"/>
  </w:num>
  <w:num w:numId="9">
    <w:abstractNumId w:val="2"/>
  </w:num>
  <w:num w:numId="10">
    <w:abstractNumId w:val="9"/>
  </w:num>
  <w:num w:numId="11">
    <w:abstractNumId w:val="0"/>
  </w:num>
  <w:num w:numId="12">
    <w:abstractNumId w:val="2"/>
  </w:num>
  <w:num w:numId="13">
    <w:abstractNumId w:val="9"/>
  </w:num>
  <w:num w:numId="14">
    <w:abstractNumId w:val="0"/>
  </w:num>
  <w:num w:numId="15">
    <w:abstractNumId w:val="2"/>
  </w:num>
  <w:num w:numId="16">
    <w:abstractNumId w:val="9"/>
  </w:num>
  <w:num w:numId="17">
    <w:abstractNumId w:val="0"/>
  </w:num>
  <w:num w:numId="18">
    <w:abstractNumId w:val="10"/>
  </w:num>
  <w:num w:numId="19">
    <w:abstractNumId w:val="6"/>
  </w:num>
  <w:num w:numId="20">
    <w:abstractNumId w:val="8"/>
  </w:num>
  <w:num w:numId="21">
    <w:abstractNumId w:val="7"/>
  </w:num>
  <w:num w:numId="22">
    <w:abstractNumId w:val="1"/>
  </w:num>
  <w:num w:numId="23">
    <w:abstractNumId w:val="4"/>
  </w:num>
  <w:num w:numId="24">
    <w:abstractNumId w:val="11"/>
  </w:num>
  <w:num w:numId="25">
    <w:abstractNumId w:val="5"/>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8FA"/>
    <w:rsid w:val="00000F71"/>
    <w:rsid w:val="000562DC"/>
    <w:rsid w:val="00062321"/>
    <w:rsid w:val="000637DA"/>
    <w:rsid w:val="000675BE"/>
    <w:rsid w:val="00090ACF"/>
    <w:rsid w:val="00104048"/>
    <w:rsid w:val="00105684"/>
    <w:rsid w:val="00125755"/>
    <w:rsid w:val="001A54B9"/>
    <w:rsid w:val="001E3627"/>
    <w:rsid w:val="001F0DA7"/>
    <w:rsid w:val="001F5E45"/>
    <w:rsid w:val="00203D46"/>
    <w:rsid w:val="0023601C"/>
    <w:rsid w:val="00273B72"/>
    <w:rsid w:val="003001E5"/>
    <w:rsid w:val="00323663"/>
    <w:rsid w:val="00457B1B"/>
    <w:rsid w:val="004A7AF9"/>
    <w:rsid w:val="004B35D9"/>
    <w:rsid w:val="004D1E32"/>
    <w:rsid w:val="004E4A3D"/>
    <w:rsid w:val="00540209"/>
    <w:rsid w:val="005E240A"/>
    <w:rsid w:val="00626F5B"/>
    <w:rsid w:val="00681925"/>
    <w:rsid w:val="006962A2"/>
    <w:rsid w:val="006A3D82"/>
    <w:rsid w:val="006B5711"/>
    <w:rsid w:val="006C7C6B"/>
    <w:rsid w:val="007F048B"/>
    <w:rsid w:val="00820F30"/>
    <w:rsid w:val="008553AF"/>
    <w:rsid w:val="008A2B4A"/>
    <w:rsid w:val="00917827"/>
    <w:rsid w:val="00926115"/>
    <w:rsid w:val="00983D2A"/>
    <w:rsid w:val="009A0CDC"/>
    <w:rsid w:val="009B33E0"/>
    <w:rsid w:val="00A84A27"/>
    <w:rsid w:val="00AA6F5B"/>
    <w:rsid w:val="00AC2271"/>
    <w:rsid w:val="00C820B3"/>
    <w:rsid w:val="00C85605"/>
    <w:rsid w:val="00CA56C0"/>
    <w:rsid w:val="00D052B0"/>
    <w:rsid w:val="00D41B38"/>
    <w:rsid w:val="00D4469F"/>
    <w:rsid w:val="00DB4947"/>
    <w:rsid w:val="00DC5464"/>
    <w:rsid w:val="00E458FA"/>
    <w:rsid w:val="00E577FA"/>
    <w:rsid w:val="00F13D31"/>
    <w:rsid w:val="00F64A09"/>
    <w:rsid w:val="00FA18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6C0"/>
    <w:rPr>
      <w:rFonts w:ascii="Arial" w:hAnsi="Arial"/>
      <w:sz w:val="24"/>
    </w:rPr>
  </w:style>
  <w:style w:type="paragraph" w:styleId="Heading1">
    <w:name w:val="heading 1"/>
    <w:basedOn w:val="Normal"/>
    <w:next w:val="Normal"/>
    <w:link w:val="Heading1Char"/>
    <w:qFormat/>
    <w:rsid w:val="00CA56C0"/>
    <w:pPr>
      <w:keepNext/>
      <w:spacing w:before="240" w:after="60"/>
      <w:jc w:val="center"/>
      <w:outlineLvl w:val="0"/>
    </w:pPr>
    <w:rPr>
      <w:rFonts w:eastAsia="Times New Roman" w:cs="Arial"/>
      <w:b/>
      <w:bCs/>
      <w:kern w:val="32"/>
      <w:sz w:val="32"/>
      <w:szCs w:val="32"/>
      <w:u w:val="single"/>
    </w:rPr>
  </w:style>
  <w:style w:type="paragraph" w:styleId="Heading2">
    <w:name w:val="heading 2"/>
    <w:basedOn w:val="Heading1"/>
    <w:next w:val="Normal"/>
    <w:link w:val="Heading2Char"/>
    <w:qFormat/>
    <w:rsid w:val="00CA56C0"/>
    <w:pPr>
      <w:spacing w:before="480" w:after="240" w:line="240" w:lineRule="auto"/>
      <w:jc w:val="left"/>
      <w:outlineLvl w:val="1"/>
    </w:pPr>
    <w:rPr>
      <w:sz w:val="28"/>
      <w:szCs w:val="28"/>
    </w:rPr>
  </w:style>
  <w:style w:type="paragraph" w:styleId="Heading3">
    <w:name w:val="heading 3"/>
    <w:basedOn w:val="Normal"/>
    <w:next w:val="Normal"/>
    <w:link w:val="Heading3Char"/>
    <w:unhideWhenUsed/>
    <w:qFormat/>
    <w:rsid w:val="00CA56C0"/>
    <w:pPr>
      <w:spacing w:before="120" w:after="120" w:line="240" w:lineRule="auto"/>
      <w:outlineLvl w:val="2"/>
    </w:pPr>
    <w:rPr>
      <w:rFonts w:eastAsia="MS Mincho" w:cs="Arial"/>
      <w:b/>
      <w:i/>
      <w:color w:val="000000" w:themeColor="text1"/>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talic">
    <w:name w:val="NotItalic"/>
    <w:basedOn w:val="DefaultParagraphFont"/>
    <w:uiPriority w:val="1"/>
    <w:qFormat/>
    <w:rsid w:val="00CA56C0"/>
    <w:rPr>
      <w:b w:val="0"/>
      <w:i w:val="0"/>
      <w:iCs/>
    </w:rPr>
  </w:style>
  <w:style w:type="paragraph" w:customStyle="1" w:styleId="Bullet1st">
    <w:name w:val="Bullet (1st)"/>
    <w:basedOn w:val="Normal"/>
    <w:link w:val="Bullet1stChar"/>
    <w:qFormat/>
    <w:rsid w:val="00CA56C0"/>
    <w:pPr>
      <w:numPr>
        <w:numId w:val="8"/>
      </w:numPr>
      <w:tabs>
        <w:tab w:val="left" w:pos="709"/>
      </w:tabs>
      <w:spacing w:after="120" w:line="240" w:lineRule="auto"/>
      <w:ind w:left="4046"/>
    </w:pPr>
    <w:rPr>
      <w:rFonts w:eastAsia="MS Mincho" w:cs="Arial"/>
      <w:szCs w:val="24"/>
      <w:lang w:eastAsia="ja-JP"/>
    </w:rPr>
  </w:style>
  <w:style w:type="character" w:customStyle="1" w:styleId="Bullet1stChar">
    <w:name w:val="Bullet (1st) Char"/>
    <w:basedOn w:val="DefaultParagraphFont"/>
    <w:link w:val="Bullet1st"/>
    <w:rsid w:val="00CA56C0"/>
    <w:rPr>
      <w:rFonts w:ascii="Arial" w:eastAsia="MS Mincho" w:hAnsi="Arial" w:cs="Arial"/>
      <w:sz w:val="24"/>
      <w:szCs w:val="24"/>
      <w:lang w:eastAsia="ja-JP"/>
    </w:rPr>
  </w:style>
  <w:style w:type="paragraph" w:customStyle="1" w:styleId="Bullet2ndindent">
    <w:name w:val="Bullet (2nd indent)"/>
    <w:basedOn w:val="Normal"/>
    <w:link w:val="Bullet2ndindentChar"/>
    <w:qFormat/>
    <w:rsid w:val="00CA56C0"/>
    <w:pPr>
      <w:numPr>
        <w:ilvl w:val="1"/>
        <w:numId w:val="1"/>
      </w:numPr>
      <w:spacing w:after="120" w:line="240" w:lineRule="auto"/>
      <w:ind w:left="1080"/>
    </w:pPr>
    <w:rPr>
      <w:rFonts w:eastAsia="Calibri" w:cs="Arial"/>
      <w:szCs w:val="24"/>
    </w:rPr>
  </w:style>
  <w:style w:type="character" w:customStyle="1" w:styleId="Bullet2ndindentChar">
    <w:name w:val="Bullet (2nd indent) Char"/>
    <w:basedOn w:val="DefaultParagraphFont"/>
    <w:link w:val="Bullet2ndindent"/>
    <w:rsid w:val="00CA56C0"/>
    <w:rPr>
      <w:rFonts w:ascii="Arial" w:eastAsia="Calibri" w:hAnsi="Arial" w:cs="Arial"/>
      <w:sz w:val="24"/>
      <w:szCs w:val="24"/>
    </w:rPr>
  </w:style>
  <w:style w:type="paragraph" w:customStyle="1" w:styleId="Box">
    <w:name w:val="Box"/>
    <w:basedOn w:val="Normal"/>
    <w:link w:val="BoxChar"/>
    <w:qFormat/>
    <w:rsid w:val="00CA56C0"/>
    <w:pPr>
      <w:tabs>
        <w:tab w:val="left" w:pos="454"/>
      </w:tabs>
      <w:adjustRightInd w:val="0"/>
      <w:spacing w:before="120" w:after="170" w:line="280" w:lineRule="exact"/>
      <w:textAlignment w:val="baseline"/>
    </w:pPr>
    <w:rPr>
      <w:rFonts w:eastAsia="Times New Roman" w:cs="Verdana"/>
      <w:i/>
      <w:color w:val="000000"/>
      <w:szCs w:val="24"/>
    </w:rPr>
  </w:style>
  <w:style w:type="character" w:customStyle="1" w:styleId="BoxChar">
    <w:name w:val="Box Char"/>
    <w:basedOn w:val="DefaultParagraphFont"/>
    <w:link w:val="Box"/>
    <w:rsid w:val="00CA56C0"/>
    <w:rPr>
      <w:rFonts w:ascii="Arial" w:eastAsia="Times New Roman" w:hAnsi="Arial" w:cs="Verdana"/>
      <w:i/>
      <w:color w:val="000000"/>
      <w:sz w:val="24"/>
      <w:szCs w:val="24"/>
    </w:rPr>
  </w:style>
  <w:style w:type="paragraph" w:customStyle="1" w:styleId="Statement">
    <w:name w:val="Statement"/>
    <w:link w:val="StatementChar"/>
    <w:qFormat/>
    <w:rsid w:val="00CA56C0"/>
    <w:rPr>
      <w:rFonts w:ascii="Arial" w:eastAsia="MS Mincho" w:hAnsi="Arial" w:cs="Arial"/>
      <w:b/>
      <w:i/>
      <w:color w:val="000000" w:themeColor="text1"/>
      <w:sz w:val="24"/>
      <w:szCs w:val="24"/>
      <w:lang w:eastAsia="ja-JP"/>
    </w:rPr>
  </w:style>
  <w:style w:type="character" w:customStyle="1" w:styleId="StatementChar">
    <w:name w:val="Statement Char"/>
    <w:basedOn w:val="Heading3Char"/>
    <w:link w:val="Statement"/>
    <w:rsid w:val="00CA56C0"/>
    <w:rPr>
      <w:rFonts w:ascii="Arial" w:eastAsia="MS Mincho" w:hAnsi="Arial" w:cs="Arial"/>
      <w:b/>
      <w:i/>
      <w:color w:val="000000" w:themeColor="text1"/>
      <w:sz w:val="24"/>
      <w:szCs w:val="24"/>
      <w:lang w:eastAsia="ja-JP"/>
    </w:rPr>
  </w:style>
  <w:style w:type="paragraph" w:customStyle="1" w:styleId="Question">
    <w:name w:val="Question"/>
    <w:link w:val="QuestionChar"/>
    <w:qFormat/>
    <w:rsid w:val="00CA56C0"/>
    <w:pPr>
      <w:numPr>
        <w:numId w:val="9"/>
      </w:numPr>
      <w:spacing w:before="480"/>
      <w:ind w:left="360"/>
    </w:pPr>
    <w:rPr>
      <w:rFonts w:ascii="Arial" w:eastAsia="MS Mincho" w:hAnsi="Arial" w:cs="Arial"/>
      <w:b/>
      <w:i/>
      <w:color w:val="000000" w:themeColor="text1"/>
      <w:sz w:val="24"/>
      <w:szCs w:val="24"/>
      <w:lang w:eastAsia="ja-JP"/>
    </w:rPr>
  </w:style>
  <w:style w:type="character" w:customStyle="1" w:styleId="QuestionChar">
    <w:name w:val="Question Char"/>
    <w:basedOn w:val="Heading3Char"/>
    <w:link w:val="Question"/>
    <w:rsid w:val="00CA56C0"/>
    <w:rPr>
      <w:rFonts w:ascii="Arial" w:eastAsia="MS Mincho" w:hAnsi="Arial" w:cs="Arial"/>
      <w:b/>
      <w:i/>
      <w:color w:val="000000" w:themeColor="text1"/>
      <w:sz w:val="24"/>
      <w:szCs w:val="24"/>
      <w:lang w:eastAsia="ja-JP"/>
    </w:rPr>
  </w:style>
  <w:style w:type="paragraph" w:customStyle="1" w:styleId="Finding">
    <w:name w:val="Finding"/>
    <w:basedOn w:val="Box"/>
    <w:link w:val="FindingChar"/>
    <w:qFormat/>
    <w:rsid w:val="00CA56C0"/>
  </w:style>
  <w:style w:type="character" w:customStyle="1" w:styleId="FindingChar">
    <w:name w:val="Finding Char"/>
    <w:basedOn w:val="BoxChar"/>
    <w:link w:val="Finding"/>
    <w:rsid w:val="00CA56C0"/>
    <w:rPr>
      <w:rFonts w:ascii="Arial" w:eastAsia="Times New Roman" w:hAnsi="Arial" w:cs="Verdana"/>
      <w:i/>
      <w:color w:val="000000"/>
      <w:sz w:val="24"/>
      <w:szCs w:val="24"/>
    </w:rPr>
  </w:style>
  <w:style w:type="character" w:customStyle="1" w:styleId="NotBold">
    <w:name w:val="NotBold"/>
    <w:uiPriority w:val="1"/>
    <w:qFormat/>
    <w:rsid w:val="00CA56C0"/>
  </w:style>
  <w:style w:type="character" w:customStyle="1" w:styleId="Heading1Char">
    <w:name w:val="Heading 1 Char"/>
    <w:basedOn w:val="DefaultParagraphFont"/>
    <w:link w:val="Heading1"/>
    <w:rsid w:val="00CA56C0"/>
    <w:rPr>
      <w:rFonts w:ascii="Arial" w:eastAsia="Times New Roman" w:hAnsi="Arial" w:cs="Arial"/>
      <w:b/>
      <w:bCs/>
      <w:kern w:val="32"/>
      <w:sz w:val="32"/>
      <w:szCs w:val="32"/>
      <w:u w:val="single"/>
    </w:rPr>
  </w:style>
  <w:style w:type="character" w:customStyle="1" w:styleId="Heading2Char">
    <w:name w:val="Heading 2 Char"/>
    <w:basedOn w:val="DefaultParagraphFont"/>
    <w:link w:val="Heading2"/>
    <w:rsid w:val="00CA56C0"/>
    <w:rPr>
      <w:rFonts w:ascii="Arial" w:eastAsia="Times New Roman" w:hAnsi="Arial" w:cs="Arial"/>
      <w:b/>
      <w:bCs/>
      <w:kern w:val="32"/>
      <w:sz w:val="28"/>
      <w:szCs w:val="28"/>
      <w:u w:val="single"/>
    </w:rPr>
  </w:style>
  <w:style w:type="character" w:customStyle="1" w:styleId="Heading3Char">
    <w:name w:val="Heading 3 Char"/>
    <w:basedOn w:val="DefaultParagraphFont"/>
    <w:link w:val="Heading3"/>
    <w:rsid w:val="00CA56C0"/>
    <w:rPr>
      <w:rFonts w:ascii="Arial" w:eastAsia="MS Mincho" w:hAnsi="Arial" w:cs="Arial"/>
      <w:b/>
      <w:i/>
      <w:color w:val="000000" w:themeColor="text1"/>
      <w:sz w:val="24"/>
      <w:szCs w:val="24"/>
      <w:lang w:eastAsia="ja-JP"/>
    </w:rPr>
  </w:style>
  <w:style w:type="character" w:styleId="Strong">
    <w:name w:val="Strong"/>
    <w:uiPriority w:val="22"/>
    <w:qFormat/>
    <w:rsid w:val="00CA56C0"/>
    <w:rPr>
      <w:b/>
      <w:bCs/>
    </w:rPr>
  </w:style>
  <w:style w:type="character" w:styleId="Emphasis">
    <w:name w:val="Emphasis"/>
    <w:qFormat/>
    <w:rsid w:val="00CA56C0"/>
    <w:rPr>
      <w:b/>
      <w:iCs/>
      <w:color w:val="000000" w:themeColor="text1"/>
    </w:rPr>
  </w:style>
  <w:style w:type="paragraph" w:styleId="NoSpacing">
    <w:name w:val="No Spacing"/>
    <w:uiPriority w:val="1"/>
    <w:qFormat/>
    <w:rsid w:val="00CA56C0"/>
    <w:pPr>
      <w:spacing w:after="0" w:line="240" w:lineRule="auto"/>
    </w:pPr>
    <w:rPr>
      <w:rFonts w:ascii="Calibri" w:eastAsia="Times New Roman" w:hAnsi="Calibri" w:cs="Times New Roman"/>
      <w:lang w:val="en-US"/>
    </w:rPr>
  </w:style>
  <w:style w:type="paragraph" w:styleId="ListParagraph">
    <w:name w:val="List Paragraph"/>
    <w:aliases w:val="Dot pt"/>
    <w:basedOn w:val="Normal"/>
    <w:link w:val="ListParagraphChar"/>
    <w:uiPriority w:val="34"/>
    <w:qFormat/>
    <w:rsid w:val="00CA56C0"/>
    <w:pPr>
      <w:ind w:left="720"/>
      <w:contextualSpacing/>
    </w:pPr>
    <w:rPr>
      <w:rFonts w:asciiTheme="minorHAnsi" w:hAnsiTheme="minorHAnsi"/>
      <w:sz w:val="22"/>
    </w:rPr>
  </w:style>
  <w:style w:type="character" w:customStyle="1" w:styleId="ListParagraphChar">
    <w:name w:val="List Paragraph Char"/>
    <w:aliases w:val="Dot pt Char"/>
    <w:basedOn w:val="DefaultParagraphFont"/>
    <w:link w:val="ListParagraph"/>
    <w:uiPriority w:val="34"/>
    <w:locked/>
    <w:rsid w:val="00CA56C0"/>
  </w:style>
  <w:style w:type="character" w:styleId="SubtleReference">
    <w:name w:val="Subtle Reference"/>
    <w:uiPriority w:val="31"/>
    <w:qFormat/>
    <w:rsid w:val="00CA56C0"/>
    <w:rPr>
      <w:b/>
    </w:rPr>
  </w:style>
  <w:style w:type="paragraph" w:styleId="TOCHeading">
    <w:name w:val="TOC Heading"/>
    <w:basedOn w:val="Heading1"/>
    <w:next w:val="Normal"/>
    <w:uiPriority w:val="39"/>
    <w:unhideWhenUsed/>
    <w:qFormat/>
    <w:rsid w:val="00CA56C0"/>
    <w:pPr>
      <w:keepLines/>
      <w:spacing w:before="480" w:after="0"/>
      <w:jc w:val="left"/>
      <w:outlineLvl w:val="9"/>
    </w:pPr>
    <w:rPr>
      <w:rFonts w:asciiTheme="majorHAnsi" w:eastAsiaTheme="majorEastAsia" w:hAnsiTheme="majorHAnsi" w:cstheme="majorBidi"/>
      <w:color w:val="365F91" w:themeColor="accent1" w:themeShade="BF"/>
      <w:kern w:val="0"/>
      <w:sz w:val="28"/>
      <w:szCs w:val="28"/>
      <w:u w:val="none"/>
      <w:lang w:val="en-US" w:eastAsia="ja-JP"/>
    </w:rPr>
  </w:style>
  <w:style w:type="paragraph" w:styleId="Header">
    <w:name w:val="header"/>
    <w:basedOn w:val="Normal"/>
    <w:link w:val="HeaderChar"/>
    <w:uiPriority w:val="99"/>
    <w:unhideWhenUsed/>
    <w:rsid w:val="00E458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8FA"/>
    <w:rPr>
      <w:rFonts w:ascii="Arial" w:hAnsi="Arial"/>
      <w:sz w:val="24"/>
    </w:rPr>
  </w:style>
  <w:style w:type="paragraph" w:customStyle="1" w:styleId="BISOddHeader">
    <w:name w:val="BIS Odd Header"/>
    <w:basedOn w:val="Normal"/>
    <w:autoRedefine/>
    <w:rsid w:val="00E458FA"/>
    <w:pPr>
      <w:tabs>
        <w:tab w:val="center" w:pos="4153"/>
        <w:tab w:val="right" w:pos="8306"/>
      </w:tabs>
      <w:spacing w:after="288" w:line="240" w:lineRule="auto"/>
      <w:jc w:val="right"/>
    </w:pPr>
    <w:rPr>
      <w:rFonts w:eastAsia="Times New Roman" w:cs="Times New Roman"/>
      <w:color w:val="003478"/>
      <w:sz w:val="18"/>
      <w:szCs w:val="24"/>
    </w:rPr>
  </w:style>
  <w:style w:type="paragraph" w:customStyle="1" w:styleId="BISEvenHeader">
    <w:name w:val="BIS Even Header"/>
    <w:basedOn w:val="BISOddHeader"/>
    <w:rsid w:val="00E458FA"/>
    <w:pPr>
      <w:jc w:val="left"/>
    </w:pPr>
  </w:style>
  <w:style w:type="paragraph" w:styleId="BalloonText">
    <w:name w:val="Balloon Text"/>
    <w:basedOn w:val="Normal"/>
    <w:link w:val="BalloonTextChar"/>
    <w:uiPriority w:val="99"/>
    <w:semiHidden/>
    <w:unhideWhenUsed/>
    <w:rsid w:val="00E45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8FA"/>
    <w:rPr>
      <w:rFonts w:ascii="Tahoma" w:hAnsi="Tahoma" w:cs="Tahoma"/>
      <w:sz w:val="16"/>
      <w:szCs w:val="16"/>
    </w:rPr>
  </w:style>
  <w:style w:type="paragraph" w:styleId="Footer">
    <w:name w:val="footer"/>
    <w:basedOn w:val="Normal"/>
    <w:link w:val="FooterChar"/>
    <w:uiPriority w:val="99"/>
    <w:unhideWhenUsed/>
    <w:rsid w:val="007F0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48B"/>
    <w:rPr>
      <w:rFonts w:ascii="Arial" w:hAnsi="Arial"/>
      <w:sz w:val="24"/>
    </w:rPr>
  </w:style>
  <w:style w:type="character" w:styleId="Hyperlink">
    <w:name w:val="Hyperlink"/>
    <w:basedOn w:val="DefaultParagraphFont"/>
    <w:uiPriority w:val="99"/>
    <w:unhideWhenUsed/>
    <w:rsid w:val="001A54B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6C0"/>
    <w:rPr>
      <w:rFonts w:ascii="Arial" w:hAnsi="Arial"/>
      <w:sz w:val="24"/>
    </w:rPr>
  </w:style>
  <w:style w:type="paragraph" w:styleId="Heading1">
    <w:name w:val="heading 1"/>
    <w:basedOn w:val="Normal"/>
    <w:next w:val="Normal"/>
    <w:link w:val="Heading1Char"/>
    <w:qFormat/>
    <w:rsid w:val="00CA56C0"/>
    <w:pPr>
      <w:keepNext/>
      <w:spacing w:before="240" w:after="60"/>
      <w:jc w:val="center"/>
      <w:outlineLvl w:val="0"/>
    </w:pPr>
    <w:rPr>
      <w:rFonts w:eastAsia="Times New Roman" w:cs="Arial"/>
      <w:b/>
      <w:bCs/>
      <w:kern w:val="32"/>
      <w:sz w:val="32"/>
      <w:szCs w:val="32"/>
      <w:u w:val="single"/>
    </w:rPr>
  </w:style>
  <w:style w:type="paragraph" w:styleId="Heading2">
    <w:name w:val="heading 2"/>
    <w:basedOn w:val="Heading1"/>
    <w:next w:val="Normal"/>
    <w:link w:val="Heading2Char"/>
    <w:qFormat/>
    <w:rsid w:val="00CA56C0"/>
    <w:pPr>
      <w:spacing w:before="480" w:after="240" w:line="240" w:lineRule="auto"/>
      <w:jc w:val="left"/>
      <w:outlineLvl w:val="1"/>
    </w:pPr>
    <w:rPr>
      <w:sz w:val="28"/>
      <w:szCs w:val="28"/>
    </w:rPr>
  </w:style>
  <w:style w:type="paragraph" w:styleId="Heading3">
    <w:name w:val="heading 3"/>
    <w:basedOn w:val="Normal"/>
    <w:next w:val="Normal"/>
    <w:link w:val="Heading3Char"/>
    <w:unhideWhenUsed/>
    <w:qFormat/>
    <w:rsid w:val="00CA56C0"/>
    <w:pPr>
      <w:spacing w:before="120" w:after="120" w:line="240" w:lineRule="auto"/>
      <w:outlineLvl w:val="2"/>
    </w:pPr>
    <w:rPr>
      <w:rFonts w:eastAsia="MS Mincho" w:cs="Arial"/>
      <w:b/>
      <w:i/>
      <w:color w:val="000000" w:themeColor="text1"/>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talic">
    <w:name w:val="NotItalic"/>
    <w:basedOn w:val="DefaultParagraphFont"/>
    <w:uiPriority w:val="1"/>
    <w:qFormat/>
    <w:rsid w:val="00CA56C0"/>
    <w:rPr>
      <w:b w:val="0"/>
      <w:i w:val="0"/>
      <w:iCs/>
    </w:rPr>
  </w:style>
  <w:style w:type="paragraph" w:customStyle="1" w:styleId="Bullet1st">
    <w:name w:val="Bullet (1st)"/>
    <w:basedOn w:val="Normal"/>
    <w:link w:val="Bullet1stChar"/>
    <w:qFormat/>
    <w:rsid w:val="00CA56C0"/>
    <w:pPr>
      <w:numPr>
        <w:numId w:val="8"/>
      </w:numPr>
      <w:tabs>
        <w:tab w:val="left" w:pos="709"/>
      </w:tabs>
      <w:spacing w:after="120" w:line="240" w:lineRule="auto"/>
      <w:ind w:left="4046"/>
    </w:pPr>
    <w:rPr>
      <w:rFonts w:eastAsia="MS Mincho" w:cs="Arial"/>
      <w:szCs w:val="24"/>
      <w:lang w:eastAsia="ja-JP"/>
    </w:rPr>
  </w:style>
  <w:style w:type="character" w:customStyle="1" w:styleId="Bullet1stChar">
    <w:name w:val="Bullet (1st) Char"/>
    <w:basedOn w:val="DefaultParagraphFont"/>
    <w:link w:val="Bullet1st"/>
    <w:rsid w:val="00CA56C0"/>
    <w:rPr>
      <w:rFonts w:ascii="Arial" w:eastAsia="MS Mincho" w:hAnsi="Arial" w:cs="Arial"/>
      <w:sz w:val="24"/>
      <w:szCs w:val="24"/>
      <w:lang w:eastAsia="ja-JP"/>
    </w:rPr>
  </w:style>
  <w:style w:type="paragraph" w:customStyle="1" w:styleId="Bullet2ndindent">
    <w:name w:val="Bullet (2nd indent)"/>
    <w:basedOn w:val="Normal"/>
    <w:link w:val="Bullet2ndindentChar"/>
    <w:qFormat/>
    <w:rsid w:val="00CA56C0"/>
    <w:pPr>
      <w:numPr>
        <w:ilvl w:val="1"/>
        <w:numId w:val="1"/>
      </w:numPr>
      <w:spacing w:after="120" w:line="240" w:lineRule="auto"/>
      <w:ind w:left="1080"/>
    </w:pPr>
    <w:rPr>
      <w:rFonts w:eastAsia="Calibri" w:cs="Arial"/>
      <w:szCs w:val="24"/>
    </w:rPr>
  </w:style>
  <w:style w:type="character" w:customStyle="1" w:styleId="Bullet2ndindentChar">
    <w:name w:val="Bullet (2nd indent) Char"/>
    <w:basedOn w:val="DefaultParagraphFont"/>
    <w:link w:val="Bullet2ndindent"/>
    <w:rsid w:val="00CA56C0"/>
    <w:rPr>
      <w:rFonts w:ascii="Arial" w:eastAsia="Calibri" w:hAnsi="Arial" w:cs="Arial"/>
      <w:sz w:val="24"/>
      <w:szCs w:val="24"/>
    </w:rPr>
  </w:style>
  <w:style w:type="paragraph" w:customStyle="1" w:styleId="Box">
    <w:name w:val="Box"/>
    <w:basedOn w:val="Normal"/>
    <w:link w:val="BoxChar"/>
    <w:qFormat/>
    <w:rsid w:val="00CA56C0"/>
    <w:pPr>
      <w:tabs>
        <w:tab w:val="left" w:pos="454"/>
      </w:tabs>
      <w:adjustRightInd w:val="0"/>
      <w:spacing w:before="120" w:after="170" w:line="280" w:lineRule="exact"/>
      <w:textAlignment w:val="baseline"/>
    </w:pPr>
    <w:rPr>
      <w:rFonts w:eastAsia="Times New Roman" w:cs="Verdana"/>
      <w:i/>
      <w:color w:val="000000"/>
      <w:szCs w:val="24"/>
    </w:rPr>
  </w:style>
  <w:style w:type="character" w:customStyle="1" w:styleId="BoxChar">
    <w:name w:val="Box Char"/>
    <w:basedOn w:val="DefaultParagraphFont"/>
    <w:link w:val="Box"/>
    <w:rsid w:val="00CA56C0"/>
    <w:rPr>
      <w:rFonts w:ascii="Arial" w:eastAsia="Times New Roman" w:hAnsi="Arial" w:cs="Verdana"/>
      <w:i/>
      <w:color w:val="000000"/>
      <w:sz w:val="24"/>
      <w:szCs w:val="24"/>
    </w:rPr>
  </w:style>
  <w:style w:type="paragraph" w:customStyle="1" w:styleId="Statement">
    <w:name w:val="Statement"/>
    <w:link w:val="StatementChar"/>
    <w:qFormat/>
    <w:rsid w:val="00CA56C0"/>
    <w:rPr>
      <w:rFonts w:ascii="Arial" w:eastAsia="MS Mincho" w:hAnsi="Arial" w:cs="Arial"/>
      <w:b/>
      <w:i/>
      <w:color w:val="000000" w:themeColor="text1"/>
      <w:sz w:val="24"/>
      <w:szCs w:val="24"/>
      <w:lang w:eastAsia="ja-JP"/>
    </w:rPr>
  </w:style>
  <w:style w:type="character" w:customStyle="1" w:styleId="StatementChar">
    <w:name w:val="Statement Char"/>
    <w:basedOn w:val="Heading3Char"/>
    <w:link w:val="Statement"/>
    <w:rsid w:val="00CA56C0"/>
    <w:rPr>
      <w:rFonts w:ascii="Arial" w:eastAsia="MS Mincho" w:hAnsi="Arial" w:cs="Arial"/>
      <w:b/>
      <w:i/>
      <w:color w:val="000000" w:themeColor="text1"/>
      <w:sz w:val="24"/>
      <w:szCs w:val="24"/>
      <w:lang w:eastAsia="ja-JP"/>
    </w:rPr>
  </w:style>
  <w:style w:type="paragraph" w:customStyle="1" w:styleId="Question">
    <w:name w:val="Question"/>
    <w:link w:val="QuestionChar"/>
    <w:qFormat/>
    <w:rsid w:val="00CA56C0"/>
    <w:pPr>
      <w:numPr>
        <w:numId w:val="9"/>
      </w:numPr>
      <w:spacing w:before="480"/>
      <w:ind w:left="360"/>
    </w:pPr>
    <w:rPr>
      <w:rFonts w:ascii="Arial" w:eastAsia="MS Mincho" w:hAnsi="Arial" w:cs="Arial"/>
      <w:b/>
      <w:i/>
      <w:color w:val="000000" w:themeColor="text1"/>
      <w:sz w:val="24"/>
      <w:szCs w:val="24"/>
      <w:lang w:eastAsia="ja-JP"/>
    </w:rPr>
  </w:style>
  <w:style w:type="character" w:customStyle="1" w:styleId="QuestionChar">
    <w:name w:val="Question Char"/>
    <w:basedOn w:val="Heading3Char"/>
    <w:link w:val="Question"/>
    <w:rsid w:val="00CA56C0"/>
    <w:rPr>
      <w:rFonts w:ascii="Arial" w:eastAsia="MS Mincho" w:hAnsi="Arial" w:cs="Arial"/>
      <w:b/>
      <w:i/>
      <w:color w:val="000000" w:themeColor="text1"/>
      <w:sz w:val="24"/>
      <w:szCs w:val="24"/>
      <w:lang w:eastAsia="ja-JP"/>
    </w:rPr>
  </w:style>
  <w:style w:type="paragraph" w:customStyle="1" w:styleId="Finding">
    <w:name w:val="Finding"/>
    <w:basedOn w:val="Box"/>
    <w:link w:val="FindingChar"/>
    <w:qFormat/>
    <w:rsid w:val="00CA56C0"/>
  </w:style>
  <w:style w:type="character" w:customStyle="1" w:styleId="FindingChar">
    <w:name w:val="Finding Char"/>
    <w:basedOn w:val="BoxChar"/>
    <w:link w:val="Finding"/>
    <w:rsid w:val="00CA56C0"/>
    <w:rPr>
      <w:rFonts w:ascii="Arial" w:eastAsia="Times New Roman" w:hAnsi="Arial" w:cs="Verdana"/>
      <w:i/>
      <w:color w:val="000000"/>
      <w:sz w:val="24"/>
      <w:szCs w:val="24"/>
    </w:rPr>
  </w:style>
  <w:style w:type="character" w:customStyle="1" w:styleId="NotBold">
    <w:name w:val="NotBold"/>
    <w:uiPriority w:val="1"/>
    <w:qFormat/>
    <w:rsid w:val="00CA56C0"/>
  </w:style>
  <w:style w:type="character" w:customStyle="1" w:styleId="Heading1Char">
    <w:name w:val="Heading 1 Char"/>
    <w:basedOn w:val="DefaultParagraphFont"/>
    <w:link w:val="Heading1"/>
    <w:rsid w:val="00CA56C0"/>
    <w:rPr>
      <w:rFonts w:ascii="Arial" w:eastAsia="Times New Roman" w:hAnsi="Arial" w:cs="Arial"/>
      <w:b/>
      <w:bCs/>
      <w:kern w:val="32"/>
      <w:sz w:val="32"/>
      <w:szCs w:val="32"/>
      <w:u w:val="single"/>
    </w:rPr>
  </w:style>
  <w:style w:type="character" w:customStyle="1" w:styleId="Heading2Char">
    <w:name w:val="Heading 2 Char"/>
    <w:basedOn w:val="DefaultParagraphFont"/>
    <w:link w:val="Heading2"/>
    <w:rsid w:val="00CA56C0"/>
    <w:rPr>
      <w:rFonts w:ascii="Arial" w:eastAsia="Times New Roman" w:hAnsi="Arial" w:cs="Arial"/>
      <w:b/>
      <w:bCs/>
      <w:kern w:val="32"/>
      <w:sz w:val="28"/>
      <w:szCs w:val="28"/>
      <w:u w:val="single"/>
    </w:rPr>
  </w:style>
  <w:style w:type="character" w:customStyle="1" w:styleId="Heading3Char">
    <w:name w:val="Heading 3 Char"/>
    <w:basedOn w:val="DefaultParagraphFont"/>
    <w:link w:val="Heading3"/>
    <w:rsid w:val="00CA56C0"/>
    <w:rPr>
      <w:rFonts w:ascii="Arial" w:eastAsia="MS Mincho" w:hAnsi="Arial" w:cs="Arial"/>
      <w:b/>
      <w:i/>
      <w:color w:val="000000" w:themeColor="text1"/>
      <w:sz w:val="24"/>
      <w:szCs w:val="24"/>
      <w:lang w:eastAsia="ja-JP"/>
    </w:rPr>
  </w:style>
  <w:style w:type="character" w:styleId="Strong">
    <w:name w:val="Strong"/>
    <w:uiPriority w:val="22"/>
    <w:qFormat/>
    <w:rsid w:val="00CA56C0"/>
    <w:rPr>
      <w:b/>
      <w:bCs/>
    </w:rPr>
  </w:style>
  <w:style w:type="character" w:styleId="Emphasis">
    <w:name w:val="Emphasis"/>
    <w:qFormat/>
    <w:rsid w:val="00CA56C0"/>
    <w:rPr>
      <w:b/>
      <w:iCs/>
      <w:color w:val="000000" w:themeColor="text1"/>
    </w:rPr>
  </w:style>
  <w:style w:type="paragraph" w:styleId="NoSpacing">
    <w:name w:val="No Spacing"/>
    <w:uiPriority w:val="1"/>
    <w:qFormat/>
    <w:rsid w:val="00CA56C0"/>
    <w:pPr>
      <w:spacing w:after="0" w:line="240" w:lineRule="auto"/>
    </w:pPr>
    <w:rPr>
      <w:rFonts w:ascii="Calibri" w:eastAsia="Times New Roman" w:hAnsi="Calibri" w:cs="Times New Roman"/>
      <w:lang w:val="en-US"/>
    </w:rPr>
  </w:style>
  <w:style w:type="paragraph" w:styleId="ListParagraph">
    <w:name w:val="List Paragraph"/>
    <w:aliases w:val="Dot pt"/>
    <w:basedOn w:val="Normal"/>
    <w:link w:val="ListParagraphChar"/>
    <w:uiPriority w:val="34"/>
    <w:qFormat/>
    <w:rsid w:val="00CA56C0"/>
    <w:pPr>
      <w:ind w:left="720"/>
      <w:contextualSpacing/>
    </w:pPr>
    <w:rPr>
      <w:rFonts w:asciiTheme="minorHAnsi" w:hAnsiTheme="minorHAnsi"/>
      <w:sz w:val="22"/>
    </w:rPr>
  </w:style>
  <w:style w:type="character" w:customStyle="1" w:styleId="ListParagraphChar">
    <w:name w:val="List Paragraph Char"/>
    <w:aliases w:val="Dot pt Char"/>
    <w:basedOn w:val="DefaultParagraphFont"/>
    <w:link w:val="ListParagraph"/>
    <w:uiPriority w:val="34"/>
    <w:locked/>
    <w:rsid w:val="00CA56C0"/>
  </w:style>
  <w:style w:type="character" w:styleId="SubtleReference">
    <w:name w:val="Subtle Reference"/>
    <w:uiPriority w:val="31"/>
    <w:qFormat/>
    <w:rsid w:val="00CA56C0"/>
    <w:rPr>
      <w:b/>
    </w:rPr>
  </w:style>
  <w:style w:type="paragraph" w:styleId="TOCHeading">
    <w:name w:val="TOC Heading"/>
    <w:basedOn w:val="Heading1"/>
    <w:next w:val="Normal"/>
    <w:uiPriority w:val="39"/>
    <w:unhideWhenUsed/>
    <w:qFormat/>
    <w:rsid w:val="00CA56C0"/>
    <w:pPr>
      <w:keepLines/>
      <w:spacing w:before="480" w:after="0"/>
      <w:jc w:val="left"/>
      <w:outlineLvl w:val="9"/>
    </w:pPr>
    <w:rPr>
      <w:rFonts w:asciiTheme="majorHAnsi" w:eastAsiaTheme="majorEastAsia" w:hAnsiTheme="majorHAnsi" w:cstheme="majorBidi"/>
      <w:color w:val="365F91" w:themeColor="accent1" w:themeShade="BF"/>
      <w:kern w:val="0"/>
      <w:sz w:val="28"/>
      <w:szCs w:val="28"/>
      <w:u w:val="none"/>
      <w:lang w:val="en-US" w:eastAsia="ja-JP"/>
    </w:rPr>
  </w:style>
  <w:style w:type="paragraph" w:styleId="Header">
    <w:name w:val="header"/>
    <w:basedOn w:val="Normal"/>
    <w:link w:val="HeaderChar"/>
    <w:uiPriority w:val="99"/>
    <w:unhideWhenUsed/>
    <w:rsid w:val="00E458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8FA"/>
    <w:rPr>
      <w:rFonts w:ascii="Arial" w:hAnsi="Arial"/>
      <w:sz w:val="24"/>
    </w:rPr>
  </w:style>
  <w:style w:type="paragraph" w:customStyle="1" w:styleId="BISOddHeader">
    <w:name w:val="BIS Odd Header"/>
    <w:basedOn w:val="Normal"/>
    <w:autoRedefine/>
    <w:rsid w:val="00E458FA"/>
    <w:pPr>
      <w:tabs>
        <w:tab w:val="center" w:pos="4153"/>
        <w:tab w:val="right" w:pos="8306"/>
      </w:tabs>
      <w:spacing w:after="288" w:line="240" w:lineRule="auto"/>
      <w:jc w:val="right"/>
    </w:pPr>
    <w:rPr>
      <w:rFonts w:eastAsia="Times New Roman" w:cs="Times New Roman"/>
      <w:color w:val="003478"/>
      <w:sz w:val="18"/>
      <w:szCs w:val="24"/>
    </w:rPr>
  </w:style>
  <w:style w:type="paragraph" w:customStyle="1" w:styleId="BISEvenHeader">
    <w:name w:val="BIS Even Header"/>
    <w:basedOn w:val="BISOddHeader"/>
    <w:rsid w:val="00E458FA"/>
    <w:pPr>
      <w:jc w:val="left"/>
    </w:pPr>
  </w:style>
  <w:style w:type="paragraph" w:styleId="BalloonText">
    <w:name w:val="Balloon Text"/>
    <w:basedOn w:val="Normal"/>
    <w:link w:val="BalloonTextChar"/>
    <w:uiPriority w:val="99"/>
    <w:semiHidden/>
    <w:unhideWhenUsed/>
    <w:rsid w:val="00E45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8FA"/>
    <w:rPr>
      <w:rFonts w:ascii="Tahoma" w:hAnsi="Tahoma" w:cs="Tahoma"/>
      <w:sz w:val="16"/>
      <w:szCs w:val="16"/>
    </w:rPr>
  </w:style>
  <w:style w:type="paragraph" w:styleId="Footer">
    <w:name w:val="footer"/>
    <w:basedOn w:val="Normal"/>
    <w:link w:val="FooterChar"/>
    <w:uiPriority w:val="99"/>
    <w:unhideWhenUsed/>
    <w:rsid w:val="007F0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48B"/>
    <w:rPr>
      <w:rFonts w:ascii="Arial" w:hAnsi="Arial"/>
      <w:sz w:val="24"/>
    </w:rPr>
  </w:style>
  <w:style w:type="character" w:styleId="Hyperlink">
    <w:name w:val="Hyperlink"/>
    <w:basedOn w:val="DefaultParagraphFont"/>
    <w:uiPriority w:val="99"/>
    <w:unhideWhenUsed/>
    <w:rsid w:val="001A54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68391">
      <w:bodyDiv w:val="1"/>
      <w:marLeft w:val="0"/>
      <w:marRight w:val="0"/>
      <w:marTop w:val="0"/>
      <w:marBottom w:val="0"/>
      <w:divBdr>
        <w:top w:val="none" w:sz="0" w:space="0" w:color="auto"/>
        <w:left w:val="none" w:sz="0" w:space="0" w:color="auto"/>
        <w:bottom w:val="none" w:sz="0" w:space="0" w:color="auto"/>
        <w:right w:val="none" w:sz="0" w:space="0" w:color="auto"/>
      </w:divBdr>
    </w:div>
    <w:div w:id="746072449">
      <w:bodyDiv w:val="1"/>
      <w:marLeft w:val="0"/>
      <w:marRight w:val="0"/>
      <w:marTop w:val="0"/>
      <w:marBottom w:val="0"/>
      <w:divBdr>
        <w:top w:val="none" w:sz="0" w:space="0" w:color="auto"/>
        <w:left w:val="none" w:sz="0" w:space="0" w:color="auto"/>
        <w:bottom w:val="none" w:sz="0" w:space="0" w:color="auto"/>
        <w:right w:val="none" w:sz="0" w:space="0" w:color="auto"/>
      </w:divBdr>
    </w:div>
    <w:div w:id="1513059662">
      <w:bodyDiv w:val="1"/>
      <w:marLeft w:val="0"/>
      <w:marRight w:val="0"/>
      <w:marTop w:val="0"/>
      <w:marBottom w:val="0"/>
      <w:divBdr>
        <w:top w:val="none" w:sz="0" w:space="0" w:color="auto"/>
        <w:left w:val="none" w:sz="0" w:space="0" w:color="auto"/>
        <w:bottom w:val="none" w:sz="0" w:space="0" w:color="auto"/>
        <w:right w:val="none" w:sz="0" w:space="0" w:color="auto"/>
      </w:divBdr>
    </w:div>
    <w:div w:id="1620603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tranet.bis.gov.uk/?attachment_id=16823" TargetMode="External"/><Relationship Id="rId13" Type="http://schemas.openxmlformats.org/officeDocument/2006/relationships/hyperlink" Target="http://sappingattention.blogspot.co.uk/"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consultation.he@bis.gsi.gov.u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ov.uk/government/consultations/higher-education-teaching-excellence-social-mobility-and-student-choic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bisgovuk.citizenspace.com/he/fulfilling-our-potential%20"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16</Pages>
  <Words>3608</Words>
  <Characters>20569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Fulfilling our Potential: Teaching Excellence, Social Mobility and Student Choice - Consultation</vt:lpstr>
    </vt:vector>
  </TitlesOfParts>
  <Company>BIS</Company>
  <LinksUpToDate>false</LinksUpToDate>
  <CharactersWithSpaces>24129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Fulfilling our Potential: Teaching Excellence, Social Mobility and Student Choice - Consultation</dc:title>
  <dc:creator>Haines Alison (HE)</dc:creator>
  <cp:lastModifiedBy>pmandler</cp:lastModifiedBy>
  <cp:revision>12</cp:revision>
  <cp:lastPrinted>2015-11-04T18:13:00Z</cp:lastPrinted>
  <dcterms:created xsi:type="dcterms:W3CDTF">2016-01-10T17:40:00Z</dcterms:created>
  <dcterms:modified xsi:type="dcterms:W3CDTF">2016-01-14T12:30:00Z</dcterms:modified>
</cp:coreProperties>
</file>